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</w:p>
    <w:p w:rsidR="00955C4D" w:rsidRPr="00955C4D" w:rsidRDefault="006472B6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Załącznik nr 1f</w:t>
      </w:r>
      <w:r w:rsidR="00955C4D" w:rsidRPr="00955C4D">
        <w:rPr>
          <w:rFonts w:eastAsia="Times New Roman"/>
          <w:sz w:val="22"/>
          <w:szCs w:val="22"/>
        </w:rPr>
        <w:t xml:space="preserve">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6472B6" w:rsidRPr="006472B6" w:rsidRDefault="006472B6" w:rsidP="006472B6">
      <w:pPr>
        <w:spacing w:line="276" w:lineRule="auto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Wykonanie inwentaryzacji </w:t>
      </w:r>
      <w:r w:rsidRPr="006472B6">
        <w:rPr>
          <w:bCs/>
          <w:sz w:val="22"/>
          <w:szCs w:val="22"/>
        </w:rPr>
        <w:t xml:space="preserve">siedlisk przyrodniczych – </w:t>
      </w:r>
      <w:r w:rsidRPr="006472B6">
        <w:rPr>
          <w:sz w:val="22"/>
          <w:szCs w:val="22"/>
        </w:rPr>
        <w:t xml:space="preserve">jaskinie </w:t>
      </w:r>
      <w:r w:rsidRPr="006472B6">
        <w:rPr>
          <w:sz w:val="22"/>
          <w:szCs w:val="22"/>
          <w:shd w:val="clear" w:color="auto" w:fill="FFFFFF"/>
        </w:rPr>
        <w:t>nieudostępnione do zwiedzania w obszarze Natura 2000</w:t>
      </w:r>
      <w:r w:rsidRPr="006472B6">
        <w:rPr>
          <w:sz w:val="22"/>
          <w:szCs w:val="22"/>
        </w:rPr>
        <w:t xml:space="preserve"> Wzgórza Chęcińsko-Kieleckie</w:t>
      </w:r>
    </w:p>
    <w:p w:rsidR="006472B6" w:rsidRPr="006472B6" w:rsidRDefault="006472B6" w:rsidP="006472B6">
      <w:pPr>
        <w:tabs>
          <w:tab w:val="left" w:pos="5535"/>
        </w:tabs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6472B6" w:rsidRPr="006472B6" w:rsidRDefault="006472B6" w:rsidP="006472B6">
      <w:pPr>
        <w:tabs>
          <w:tab w:val="left" w:pos="5535"/>
        </w:tabs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6472B6" w:rsidRPr="006472B6" w:rsidRDefault="006472B6" w:rsidP="006472B6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6472B6">
        <w:rPr>
          <w:b/>
          <w:bCs/>
          <w:color w:val="auto"/>
          <w:sz w:val="22"/>
          <w:szCs w:val="22"/>
        </w:rPr>
        <w:t>I. Zakres opracowania</w:t>
      </w:r>
    </w:p>
    <w:p w:rsidR="006472B6" w:rsidRPr="006472B6" w:rsidRDefault="006472B6" w:rsidP="006472B6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6472B6" w:rsidRPr="006472B6" w:rsidRDefault="006472B6" w:rsidP="006472B6">
      <w:pPr>
        <w:pStyle w:val="Default"/>
        <w:numPr>
          <w:ilvl w:val="0"/>
          <w:numId w:val="16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Uzupełnienie stanu wiedzy o przedmiotach ochrony i uwarunkowaniach ich ochrony oraz ich siedlisk w obszarach Natura 2000:</w:t>
      </w:r>
    </w:p>
    <w:p w:rsidR="006472B6" w:rsidRPr="006472B6" w:rsidRDefault="006472B6" w:rsidP="006472B6">
      <w:pPr>
        <w:pStyle w:val="Default"/>
        <w:numPr>
          <w:ilvl w:val="0"/>
          <w:numId w:val="22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472B6">
        <w:rPr>
          <w:b/>
          <w:color w:val="auto"/>
          <w:sz w:val="22"/>
          <w:szCs w:val="22"/>
        </w:rPr>
        <w:t>8310</w:t>
      </w:r>
      <w:r w:rsidRPr="006472B6">
        <w:rPr>
          <w:color w:val="auto"/>
          <w:sz w:val="22"/>
          <w:szCs w:val="22"/>
        </w:rPr>
        <w:t xml:space="preserve"> </w:t>
      </w:r>
      <w:r w:rsidRPr="006472B6">
        <w:rPr>
          <w:sz w:val="22"/>
          <w:szCs w:val="22"/>
        </w:rPr>
        <w:t xml:space="preserve">jaskinie </w:t>
      </w:r>
      <w:r w:rsidRPr="006472B6">
        <w:rPr>
          <w:sz w:val="22"/>
          <w:szCs w:val="22"/>
          <w:shd w:val="clear" w:color="auto" w:fill="FFFFFF"/>
        </w:rPr>
        <w:t>nieudostępnione do zwiedzania w obszarze Natura 2000</w:t>
      </w:r>
      <w:r w:rsidRPr="006472B6">
        <w:rPr>
          <w:sz w:val="22"/>
          <w:szCs w:val="22"/>
        </w:rPr>
        <w:t xml:space="preserve"> Wzgórza Chęcińsko-Kieleckie.</w:t>
      </w:r>
    </w:p>
    <w:p w:rsidR="006472B6" w:rsidRPr="006472B6" w:rsidRDefault="006472B6" w:rsidP="006472B6">
      <w:pPr>
        <w:pStyle w:val="Default"/>
        <w:spacing w:line="276" w:lineRule="auto"/>
        <w:ind w:left="1440"/>
        <w:contextualSpacing/>
        <w:jc w:val="both"/>
        <w:rPr>
          <w:color w:val="auto"/>
          <w:sz w:val="22"/>
          <w:szCs w:val="22"/>
        </w:rPr>
      </w:pPr>
    </w:p>
    <w:p w:rsidR="006472B6" w:rsidRPr="006472B6" w:rsidRDefault="006472B6" w:rsidP="006472B6">
      <w:pPr>
        <w:pStyle w:val="Akapitzlist"/>
        <w:numPr>
          <w:ilvl w:val="2"/>
          <w:numId w:val="16"/>
        </w:numPr>
        <w:spacing w:line="276" w:lineRule="auto"/>
        <w:ind w:left="1418" w:hanging="709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dokonanie przeglądu dostępnej literatury, w tym danych historycznych, publikacji naukowych dotyczących występowania ww. </w:t>
      </w:r>
      <w:r w:rsidRPr="006472B6">
        <w:rPr>
          <w:bCs/>
          <w:sz w:val="22"/>
          <w:szCs w:val="22"/>
        </w:rPr>
        <w:t xml:space="preserve">siedlisk </w:t>
      </w:r>
      <w:r w:rsidRPr="006472B6">
        <w:rPr>
          <w:sz w:val="22"/>
          <w:szCs w:val="22"/>
        </w:rPr>
        <w:t xml:space="preserve">w granicach ww. obszarów Natura 2000, </w:t>
      </w:r>
    </w:p>
    <w:p w:rsidR="006472B6" w:rsidRPr="006472B6" w:rsidRDefault="006472B6" w:rsidP="006472B6">
      <w:pPr>
        <w:pStyle w:val="Akapitzlist"/>
        <w:numPr>
          <w:ilvl w:val="2"/>
          <w:numId w:val="16"/>
        </w:numPr>
        <w:spacing w:line="276" w:lineRule="auto"/>
        <w:ind w:left="1418" w:hanging="709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przeanalizowanie map topograficznych i </w:t>
      </w:r>
      <w:proofErr w:type="spellStart"/>
      <w:r w:rsidRPr="006472B6">
        <w:rPr>
          <w:sz w:val="22"/>
          <w:szCs w:val="22"/>
        </w:rPr>
        <w:t>ortofotomap</w:t>
      </w:r>
      <w:proofErr w:type="spellEnd"/>
      <w:r w:rsidRPr="006472B6">
        <w:rPr>
          <w:sz w:val="22"/>
          <w:szCs w:val="22"/>
        </w:rPr>
        <w:t xml:space="preserve"> poszczególnych obszarów pod katem występowania tych siedlisk,</w:t>
      </w:r>
    </w:p>
    <w:p w:rsidR="006472B6" w:rsidRPr="006472B6" w:rsidRDefault="006472B6" w:rsidP="006472B6">
      <w:pPr>
        <w:pStyle w:val="Akapitzlist"/>
        <w:numPr>
          <w:ilvl w:val="2"/>
          <w:numId w:val="16"/>
        </w:numPr>
        <w:spacing w:line="276" w:lineRule="auto"/>
        <w:ind w:left="1418" w:hanging="709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wytypowanie wszystkich potencjalnych miejsc występowania </w:t>
      </w:r>
      <w:r w:rsidRPr="006472B6">
        <w:rPr>
          <w:bCs/>
          <w:sz w:val="22"/>
          <w:szCs w:val="22"/>
        </w:rPr>
        <w:t xml:space="preserve">siedlisk </w:t>
      </w:r>
      <w:r w:rsidRPr="006472B6">
        <w:rPr>
          <w:sz w:val="22"/>
          <w:szCs w:val="22"/>
        </w:rPr>
        <w:t xml:space="preserve">na podstawie przeanalizowanych materiałów, </w:t>
      </w:r>
    </w:p>
    <w:p w:rsidR="006472B6" w:rsidRPr="006472B6" w:rsidRDefault="006472B6" w:rsidP="006472B6">
      <w:pPr>
        <w:pStyle w:val="Akapitzlist"/>
        <w:numPr>
          <w:ilvl w:val="2"/>
          <w:numId w:val="16"/>
        </w:numPr>
        <w:spacing w:line="276" w:lineRule="auto"/>
        <w:ind w:left="1418" w:hanging="709"/>
        <w:jc w:val="both"/>
        <w:rPr>
          <w:sz w:val="22"/>
          <w:szCs w:val="22"/>
        </w:rPr>
      </w:pPr>
      <w:r w:rsidRPr="006472B6">
        <w:rPr>
          <w:sz w:val="22"/>
          <w:szCs w:val="22"/>
        </w:rPr>
        <w:t>dokonanie przeglądu w terenie wszystkich wytypowanych miejsc,</w:t>
      </w:r>
    </w:p>
    <w:p w:rsidR="006472B6" w:rsidRPr="006472B6" w:rsidRDefault="006472B6" w:rsidP="006472B6">
      <w:pPr>
        <w:pStyle w:val="Akapitzlist"/>
        <w:numPr>
          <w:ilvl w:val="2"/>
          <w:numId w:val="16"/>
        </w:numPr>
        <w:spacing w:line="276" w:lineRule="auto"/>
        <w:ind w:left="1418" w:hanging="709"/>
        <w:jc w:val="both"/>
        <w:rPr>
          <w:sz w:val="22"/>
          <w:szCs w:val="22"/>
        </w:rPr>
      </w:pPr>
      <w:r w:rsidRPr="006472B6">
        <w:rPr>
          <w:sz w:val="22"/>
          <w:szCs w:val="22"/>
        </w:rPr>
        <w:t>przeprowadzenie w terenie, w potwierdzonych miejscach występowania, badań pozwalających na ocenę stanu zachowania każdego płatu siedliska w danym obszarze Natura 2000.</w:t>
      </w:r>
    </w:p>
    <w:p w:rsidR="006472B6" w:rsidRPr="006472B6" w:rsidRDefault="006472B6" w:rsidP="006472B6">
      <w:pPr>
        <w:pStyle w:val="Default"/>
        <w:numPr>
          <w:ilvl w:val="0"/>
          <w:numId w:val="16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Przygotowanie opisu zawierającego informacje wynikające z analizy danych literaturowych dotyczących występowania przedmiotowych siedlisk przyrodniczych w obszarach Natura 2000 oraz z inwentaryzacji terenowej, w tym w szczególności: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strike/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przedstawienie ogólnych informacji dotyczących stanu zachowania danego siedliska przyrodniczego w każdym z obszarów Natura 2000; 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dokonanie i opisanie oceny stanu ochrony każdego płatu danego siedliska przyrodniczego: 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rFonts w:eastAsia="Times New Roman"/>
          <w:color w:val="auto"/>
          <w:sz w:val="22"/>
          <w:szCs w:val="22"/>
        </w:rPr>
      </w:pPr>
      <w:bookmarkStart w:id="0" w:name="_GoBack"/>
      <w:r w:rsidRPr="006472B6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2010r. w sprawie sporządzania projektu planu zadań ochronnych dla obszaru Natura 2000 (Dz. U. Nr 34, poz. 186 z </w:t>
      </w:r>
      <w:proofErr w:type="spellStart"/>
      <w:r w:rsidRPr="006472B6">
        <w:rPr>
          <w:color w:val="auto"/>
          <w:sz w:val="22"/>
          <w:szCs w:val="22"/>
        </w:rPr>
        <w:t>późn</w:t>
      </w:r>
      <w:proofErr w:type="spellEnd"/>
      <w:r w:rsidRPr="006472B6">
        <w:rPr>
          <w:color w:val="auto"/>
          <w:sz w:val="22"/>
          <w:szCs w:val="22"/>
        </w:rPr>
        <w:t>. zm.), w której „FV” oznacza stan właściwy, „U1” – niezadawalający, „U2” – zły; w przypadku zmiany przepisów prawnych, w zakresie obejmującym przedmiot umowy, w trakcie realizacji zadania Wykonawca zobowiązany jest do uwzględnienia tych zmian;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podstawą oceny parametru „powierzchnia siedliska” (wielkość i kształt jaskini) i „struktura i funkcje” oraz „szanse zachowania”</w:t>
      </w:r>
      <w:r w:rsidRPr="006472B6">
        <w:rPr>
          <w:color w:val="00B050"/>
          <w:sz w:val="22"/>
          <w:szCs w:val="22"/>
        </w:rPr>
        <w:t xml:space="preserve"> </w:t>
      </w:r>
      <w:r w:rsidRPr="006472B6">
        <w:rPr>
          <w:color w:val="auto"/>
          <w:sz w:val="22"/>
          <w:szCs w:val="22"/>
        </w:rPr>
        <w:t>są odrębne zestawy wskaźników opracowane dla poszczególnych siedlisk przyrodniczych, przyjęte na podstawie wiedzy naukowej do celów Państwowego Monitoringu Środowiska (PMŚ). Zestawy wskaźników wraz z zasadami ich interpretacji są dostępne na stronie internetowej Głównego Inspektora Ochrony Środowiska w zakładce monitoring przyrody.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lastRenderedPageBreak/>
        <w:t>podczas określenia parametru „powierzchnia siedliska” należy wziąć pod uwagę również jego fragmentację oraz trendy zachodzących zmian a także uwzględnić fragmentację poszczególnych płatów,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przy określaniu parametru „struktura i funkcja” dla każdego płatu siedliska należy wziąć pod uwagę stan charakterystycznych gatunków oraz procesy ekologiczne tam zachodzące oraz strukturę i procesy typowe dla właściwego stanu ochrony siedliska,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parametr „szanse zachowania” należy ocenić, biorąc w szczególności pod uwagę istniejące trendy i zjawiska, a także istniejące plany i programy oraz wyniki raportów o stanie zachowania siedliska na poziomie kraju, przekazane do Komisji Europejskiej w 2007r., dostępne na stronie internetowej GIOŚ (http://www.gios.gov.pl),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  <w:u w:val="single"/>
        </w:rPr>
      </w:pPr>
      <w:r w:rsidRPr="006472B6">
        <w:rPr>
          <w:color w:val="auto"/>
          <w:sz w:val="22"/>
          <w:szCs w:val="22"/>
          <w:u w:val="single"/>
        </w:rPr>
        <w:t>ocenę stanu należy podać osobno dla każdego siedliska przyrodniczego oraz łącznie dla siedliska w obszarze Natura 2000,</w:t>
      </w:r>
      <w:r w:rsidRPr="006472B6">
        <w:rPr>
          <w:strike/>
          <w:color w:val="auto"/>
          <w:sz w:val="22"/>
          <w:szCs w:val="22"/>
          <w:u w:val="single"/>
        </w:rPr>
        <w:t xml:space="preserve"> 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ocenę stanu siedliska przyrodniczego, należy wykonać zgodnie z przyjętą skalą, przy czym ocena dla obszaru powinna być zgeneralizowana na poziomie obszaru na podstawie rozkładu ocen na poszczególnych stanowiskach. W takcie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przy ocenie stanu siedliska w obszarze Natura 2000 należy podać również reprezentatywność, powierzchnię względną, stopień zachowania struktury, stopień zachowania funkcji, możliwość odtworzenia,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dokonanie i przedstawienie oceny znaczenia poszczególnych obszarów Natura 2000 dla ochrony danego siedliska (wartość obszaru dla danego siedliska) zgodnie z Instrukcją wypełniania Standardowego Formularza Danych obszaru Natura 2000, wersja 2012.1 (GDOŚ 2012) lub nowsza – dostępną na stronie </w:t>
      </w:r>
      <w:hyperlink r:id="rId8" w:history="1">
        <w:r w:rsidRPr="006472B6">
          <w:rPr>
            <w:rStyle w:val="Hipercze"/>
            <w:color w:val="auto"/>
            <w:sz w:val="22"/>
            <w:szCs w:val="22"/>
          </w:rPr>
          <w:t>www.gdos.gov.pl</w:t>
        </w:r>
      </w:hyperlink>
      <w:r w:rsidRPr="006472B6">
        <w:rPr>
          <w:color w:val="auto"/>
          <w:sz w:val="22"/>
          <w:szCs w:val="22"/>
        </w:rPr>
        <w:t>.,</w:t>
      </w:r>
    </w:p>
    <w:p w:rsidR="006472B6" w:rsidRPr="006472B6" w:rsidRDefault="006472B6" w:rsidP="004D751B">
      <w:pPr>
        <w:pStyle w:val="Default"/>
        <w:numPr>
          <w:ilvl w:val="1"/>
          <w:numId w:val="19"/>
        </w:numPr>
        <w:spacing w:line="276" w:lineRule="auto"/>
        <w:ind w:left="1134" w:hanging="141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nadane oceny należy szczegółowo uzasadnić; </w:t>
      </w:r>
    </w:p>
    <w:bookmarkEnd w:id="0"/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siedlisko przyrodnicze, oddzielnie dla każdego stanowiska, uwzględniając terminologię zgodną z załącznikiem nr 5 do Instrukcji wypełniania Standardowego Formularza Danych obszaru Natura 2000, wersja 2012.1 lub nowsza;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przedstawienie szczegółowej metodyki prowadzonych badań (daty, ilość przejść, sposób prowadzenia badań);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wskazanie lokalizacji miejsc (działki ewidencyjne), w których stwierdzono poszczególne stanowiska siedliska przyrodniczego;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wskazanie propozycji stanowisk referencyjnych do prowadzenia późniejszego monitoringu stanu ochrony siedliska przyrodniczego w obszarze Natura 2000; </w:t>
      </w:r>
    </w:p>
    <w:p w:rsidR="006472B6" w:rsidRPr="006472B6" w:rsidRDefault="006472B6" w:rsidP="004D751B">
      <w:pPr>
        <w:pStyle w:val="Default"/>
        <w:numPr>
          <w:ilvl w:val="0"/>
          <w:numId w:val="18"/>
        </w:numPr>
        <w:spacing w:line="276" w:lineRule="auto"/>
        <w:ind w:left="993" w:hanging="284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wykonanie i załączenie fotografii poszczególnych stanowisk siedliska przyrodniczego. W tekście przy opisach stanowisk należy podać: nr GUID obrazowanego płatu lub punktu, datę wykonania fotografii, współrzędne geograficzne punktu wykonania, kierunek wykonania ujęcia (np. S, SW, SE);</w:t>
      </w:r>
    </w:p>
    <w:p w:rsidR="006472B6" w:rsidRPr="006472B6" w:rsidRDefault="006472B6" w:rsidP="006472B6">
      <w:pPr>
        <w:pStyle w:val="Default"/>
        <w:numPr>
          <w:ilvl w:val="0"/>
          <w:numId w:val="16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>Sporządzenie map tematycznych przedstawiających rozmieszczenie siedliska przyrodniczego w obszarze Natura 2000.</w:t>
      </w:r>
    </w:p>
    <w:p w:rsidR="006472B6" w:rsidRPr="006472B6" w:rsidRDefault="006472B6" w:rsidP="006472B6">
      <w:pPr>
        <w:pStyle w:val="Default"/>
        <w:numPr>
          <w:ilvl w:val="0"/>
          <w:numId w:val="16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472B6">
        <w:rPr>
          <w:bCs/>
          <w:color w:val="auto"/>
          <w:sz w:val="22"/>
          <w:szCs w:val="22"/>
        </w:rPr>
        <w:t>Opracowanie danych przestrzennych GIS</w:t>
      </w:r>
      <w:r w:rsidRPr="006472B6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6472B6">
        <w:rPr>
          <w:color w:val="auto"/>
          <w:sz w:val="22"/>
          <w:szCs w:val="22"/>
        </w:rPr>
        <w:t>Informacyjno</w:t>
      </w:r>
      <w:proofErr w:type="spellEnd"/>
      <w:r w:rsidRPr="006472B6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podręcznika. Wykonawca jest obowiązany stosować najnowsze wersje </w:t>
      </w:r>
      <w:r w:rsidRPr="006472B6">
        <w:rPr>
          <w:color w:val="auto"/>
          <w:sz w:val="22"/>
          <w:szCs w:val="22"/>
        </w:rPr>
        <w:lastRenderedPageBreak/>
        <w:t>chyba, że Zamawiający wskaże inną wersję. W szczególności wymagane jest opracowanie warstw przestrzennych i wykazów z rozmieszczeniem poszczególnych stanowisk gatunków (punkty) i ich siedlisk (poligony).</w:t>
      </w:r>
    </w:p>
    <w:p w:rsidR="006472B6" w:rsidRPr="006472B6" w:rsidRDefault="006472B6" w:rsidP="006472B6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  <w:r w:rsidRPr="006472B6">
        <w:rPr>
          <w:color w:val="auto"/>
          <w:sz w:val="22"/>
          <w:szCs w:val="22"/>
        </w:rPr>
        <w:t xml:space="preserve">Dla każdej warstwy wymagane są zewnętrzne tabele zawierające dane opisowe – tabela obserwacji, tabela wskaźników, tabela zagrożeń połączone relacją polem unikalnego identyfikatora. </w:t>
      </w:r>
    </w:p>
    <w:p w:rsidR="006472B6" w:rsidRPr="006472B6" w:rsidRDefault="006472B6" w:rsidP="006472B6">
      <w:pPr>
        <w:spacing w:line="276" w:lineRule="auto"/>
        <w:jc w:val="both"/>
        <w:rPr>
          <w:b/>
          <w:bCs/>
          <w:sz w:val="22"/>
          <w:szCs w:val="22"/>
        </w:rPr>
      </w:pPr>
      <w:r w:rsidRPr="006472B6">
        <w:rPr>
          <w:b/>
          <w:bCs/>
          <w:sz w:val="22"/>
          <w:szCs w:val="22"/>
        </w:rPr>
        <w:t>II. Forma opracowania dokumentacji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6472B6">
        <w:rPr>
          <w:sz w:val="22"/>
          <w:szCs w:val="22"/>
        </w:rPr>
        <w:t>dpi</w:t>
      </w:r>
      <w:proofErr w:type="spellEnd"/>
      <w:r w:rsidRPr="006472B6">
        <w:rPr>
          <w:sz w:val="22"/>
          <w:szCs w:val="22"/>
        </w:rPr>
        <w:t xml:space="preserve"> 300, zdjęcia należy opisać nr GUID.  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Warstwy przestrzenne w formacie </w:t>
      </w:r>
      <w:proofErr w:type="spellStart"/>
      <w:r w:rsidRPr="006472B6">
        <w:rPr>
          <w:sz w:val="22"/>
          <w:szCs w:val="22"/>
        </w:rPr>
        <w:t>shapefile</w:t>
      </w:r>
      <w:proofErr w:type="spellEnd"/>
      <w:r w:rsidRPr="006472B6">
        <w:rPr>
          <w:sz w:val="22"/>
          <w:szCs w:val="22"/>
        </w:rPr>
        <w:t xml:space="preserve"> w układzie współrzędnych PL-1992.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Pliki tekstowe w formacie: </w:t>
      </w:r>
      <w:proofErr w:type="spellStart"/>
      <w:r w:rsidRPr="006472B6">
        <w:rPr>
          <w:sz w:val="22"/>
          <w:szCs w:val="22"/>
        </w:rPr>
        <w:t>doc</w:t>
      </w:r>
      <w:proofErr w:type="spellEnd"/>
      <w:r w:rsidRPr="006472B6">
        <w:rPr>
          <w:sz w:val="22"/>
          <w:szCs w:val="22"/>
        </w:rPr>
        <w:t>/</w:t>
      </w:r>
      <w:proofErr w:type="spellStart"/>
      <w:r w:rsidRPr="006472B6">
        <w:rPr>
          <w:sz w:val="22"/>
          <w:szCs w:val="22"/>
        </w:rPr>
        <w:t>docx</w:t>
      </w:r>
      <w:proofErr w:type="spellEnd"/>
      <w:r w:rsidRPr="006472B6">
        <w:rPr>
          <w:sz w:val="22"/>
          <w:szCs w:val="22"/>
        </w:rPr>
        <w:t xml:space="preserve"> i pdf.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6472B6" w:rsidRPr="006472B6" w:rsidRDefault="006472B6" w:rsidP="006472B6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472B6">
        <w:rPr>
          <w:sz w:val="22"/>
          <w:szCs w:val="22"/>
        </w:rPr>
        <w:t xml:space="preserve">Dopuszcza się </w:t>
      </w:r>
      <w:r w:rsidRPr="006472B6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p w:rsidR="00303A35" w:rsidRPr="006472B6" w:rsidRDefault="00303A35" w:rsidP="006472B6">
      <w:pPr>
        <w:spacing w:line="276" w:lineRule="auto"/>
        <w:jc w:val="both"/>
        <w:rPr>
          <w:sz w:val="22"/>
          <w:szCs w:val="22"/>
        </w:rPr>
      </w:pPr>
    </w:p>
    <w:sectPr w:rsidR="00303A35" w:rsidRPr="006472B6" w:rsidSect="00303A35"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9607B4D"/>
    <w:multiLevelType w:val="hybridMultilevel"/>
    <w:tmpl w:val="2DF0DDC0"/>
    <w:lvl w:ilvl="0" w:tplc="3B7E99D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1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  <w:num w:numId="12">
    <w:abstractNumId w:val="16"/>
  </w:num>
  <w:num w:numId="13">
    <w:abstractNumId w:val="15"/>
  </w:num>
  <w:num w:numId="14">
    <w:abstractNumId w:val="5"/>
  </w:num>
  <w:num w:numId="15">
    <w:abstractNumId w:val="9"/>
  </w:num>
  <w:num w:numId="16">
    <w:abstractNumId w:val="3"/>
  </w:num>
  <w:num w:numId="17">
    <w:abstractNumId w:val="17"/>
  </w:num>
  <w:num w:numId="18">
    <w:abstractNumId w:val="8"/>
  </w:num>
  <w:num w:numId="19">
    <w:abstractNumId w:val="11"/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2F15F4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D751B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1400"/>
    <w:rsid w:val="006032E3"/>
    <w:rsid w:val="006472B6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67B2D"/>
    <w:rsid w:val="00D97B68"/>
    <w:rsid w:val="00DA50C4"/>
    <w:rsid w:val="00DC0794"/>
    <w:rsid w:val="00DD3F82"/>
    <w:rsid w:val="00DD697C"/>
    <w:rsid w:val="00E06215"/>
    <w:rsid w:val="00E224A4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5D67D-5C69-4C19-81F3-7AE5ECC76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3</cp:revision>
  <cp:lastPrinted>2017-10-27T10:03:00Z</cp:lastPrinted>
  <dcterms:created xsi:type="dcterms:W3CDTF">2019-03-18T10:52:00Z</dcterms:created>
  <dcterms:modified xsi:type="dcterms:W3CDTF">2019-03-18T10:53:00Z</dcterms:modified>
</cp:coreProperties>
</file>