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9" w:rsidRPr="00386C49" w:rsidRDefault="0056794A" w:rsidP="00386C49">
      <w:pPr>
        <w:widowControl w:val="0"/>
        <w:adjustRightInd w:val="0"/>
        <w:ind w:firstLine="708"/>
        <w:contextualSpacing/>
        <w:jc w:val="right"/>
        <w:textAlignment w:val="baseline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Załącznik 1m</w:t>
      </w:r>
    </w:p>
    <w:p w:rsidR="00997E7A" w:rsidRPr="00646EDB" w:rsidRDefault="00997E7A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B72AA">
        <w:rPr>
          <w:rFonts w:ascii="Garamond" w:hAnsi="Garamond"/>
          <w:sz w:val="22"/>
          <w:szCs w:val="22"/>
        </w:rPr>
        <w:t>SZCZEG</w:t>
      </w:r>
      <w:r w:rsidRPr="00646EDB">
        <w:rPr>
          <w:rFonts w:ascii="Garamond" w:hAnsi="Garamond"/>
          <w:sz w:val="22"/>
          <w:szCs w:val="22"/>
        </w:rPr>
        <w:t>ÓŁOWY OPIS PRZEDMIOTU ZAMÓWIENIA</w:t>
      </w:r>
    </w:p>
    <w:p w:rsidR="00D72BAB" w:rsidRPr="00646EDB" w:rsidRDefault="00D72BAB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997E7A" w:rsidRPr="0085583A" w:rsidRDefault="000E0D7B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</w:t>
      </w:r>
      <w:r w:rsidR="006B2722" w:rsidRPr="0085583A">
        <w:rPr>
          <w:rFonts w:ascii="Garamond" w:hAnsi="Garamond"/>
          <w:b/>
          <w:sz w:val="22"/>
          <w:szCs w:val="22"/>
        </w:rPr>
        <w:t>nie ekspertyzy</w:t>
      </w:r>
      <w:r w:rsidR="004732E9" w:rsidRPr="0085583A">
        <w:rPr>
          <w:rFonts w:ascii="Garamond" w:hAnsi="Garamond"/>
          <w:b/>
          <w:sz w:val="22"/>
          <w:szCs w:val="22"/>
        </w:rPr>
        <w:t xml:space="preserve"> przyrodniczych</w:t>
      </w:r>
      <w:r w:rsidR="006B2722" w:rsidRPr="0085583A">
        <w:rPr>
          <w:rFonts w:ascii="Garamond" w:hAnsi="Garamond"/>
          <w:b/>
          <w:sz w:val="22"/>
          <w:szCs w:val="22"/>
        </w:rPr>
        <w:t xml:space="preserve"> </w:t>
      </w:r>
      <w:r w:rsidR="00A22FD7" w:rsidRPr="0085583A">
        <w:rPr>
          <w:rFonts w:ascii="Garamond" w:hAnsi="Garamond"/>
          <w:b/>
          <w:sz w:val="22"/>
          <w:szCs w:val="22"/>
        </w:rPr>
        <w:t xml:space="preserve">dla </w:t>
      </w:r>
      <w:r w:rsidR="006B2722" w:rsidRPr="0085583A">
        <w:rPr>
          <w:rFonts w:ascii="Garamond" w:hAnsi="Garamond"/>
          <w:b/>
          <w:sz w:val="22"/>
          <w:szCs w:val="22"/>
        </w:rPr>
        <w:t xml:space="preserve">obszaru Natura 2000 </w:t>
      </w:r>
      <w:r w:rsidR="004C2734" w:rsidRPr="0085583A">
        <w:rPr>
          <w:rFonts w:ascii="Garamond" w:hAnsi="Garamond"/>
          <w:b/>
          <w:sz w:val="22"/>
          <w:szCs w:val="22"/>
        </w:rPr>
        <w:t xml:space="preserve">Dolina Górnej Pilicy </w:t>
      </w:r>
      <w:r w:rsidR="00012871">
        <w:rPr>
          <w:rFonts w:ascii="Garamond" w:hAnsi="Garamond" w:cs="Arial"/>
          <w:b/>
          <w:bCs/>
          <w:sz w:val="22"/>
          <w:szCs w:val="22"/>
        </w:rPr>
        <w:t>na potrzeby projektu nr POIS.02.04.00-00-0193/16, pn.: „Opracowanie planów zadań ochronnych dla obszarów Natura 2000”</w:t>
      </w:r>
    </w:p>
    <w:p w:rsidR="003111CB" w:rsidRDefault="003111CB" w:rsidP="003D1AC2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</w:p>
    <w:p w:rsidR="004C1E21" w:rsidRDefault="004C1E21" w:rsidP="004C1E21">
      <w:pPr>
        <w:widowControl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Ekspertyza dotyczyć będzie obszaru Natura 2000 w części położonej poza terenem zarządzanym przez Państwowe Gospodarstwo Leśne Lasy Państwowe.   </w:t>
      </w:r>
    </w:p>
    <w:p w:rsidR="00A76BEF" w:rsidRPr="00646EDB" w:rsidRDefault="00A76BEF" w:rsidP="003D1AC2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</w:p>
    <w:p w:rsidR="00260601" w:rsidRDefault="00260601" w:rsidP="00260601">
      <w:pPr>
        <w:pStyle w:val="Defaul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I. Zakres ekspertyzy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Ogólny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opis obszaru</w:t>
      </w:r>
      <w:r>
        <w:rPr>
          <w:rFonts w:ascii="Garamond" w:hAnsi="Garamond"/>
          <w:sz w:val="22"/>
          <w:szCs w:val="22"/>
        </w:rPr>
        <w:t xml:space="preserve"> zawierający syntetyczną informację dotyczącą: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usytuowania obszaru w odniesieniu do jednostek powiązanych z regionalizacją kraju (np. wg regionalizacji fizyczno-geograficznej wg J. Kondrackiego (1994))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usytuowania obszaru w stosunku do regionalizacji geobotanicznych (np. wg J.M. Matuszkiewicza (1993))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geologii i gleb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hydrologii 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struktury krajobrazu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korytarzy ekologicznych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istniejących form ochrony przyrody, w tym sąsiadujących obszarów Natura 2000, jeśli jest to istotne dla obszaru</w:t>
      </w:r>
    </w:p>
    <w:p w:rsidR="00260601" w:rsidRDefault="00260601" w:rsidP="00260601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inne zagadnienia w zależności od specyfiki obszaru i ich związku z przedmiotami ochrony.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Wykonanie </w:t>
      </w:r>
      <w:r>
        <w:rPr>
          <w:rFonts w:ascii="Garamond" w:hAnsi="Garamond"/>
          <w:b/>
          <w:sz w:val="22"/>
          <w:szCs w:val="22"/>
        </w:rPr>
        <w:t>inwentaryzacji</w:t>
      </w:r>
      <w:r>
        <w:rPr>
          <w:rFonts w:ascii="Garamond" w:hAnsi="Garamond"/>
          <w:sz w:val="22"/>
          <w:szCs w:val="22"/>
        </w:rPr>
        <w:t xml:space="preserve"> przyrodniczej niżej wymienionych siedlisk przyrodniczych </w:t>
      </w:r>
      <w:r w:rsidRPr="006E1127">
        <w:rPr>
          <w:rFonts w:ascii="Garamond" w:hAnsi="Garamond"/>
          <w:color w:val="auto"/>
          <w:sz w:val="22"/>
          <w:szCs w:val="22"/>
        </w:rPr>
        <w:t>i gatunków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oraz ich siedlisk w obszarze Natura2000 zgodnie z poniższym zakresem:</w:t>
      </w:r>
    </w:p>
    <w:p w:rsidR="009D0769" w:rsidRPr="00B1555A" w:rsidRDefault="009D0769" w:rsidP="009D0769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2330 Wydmy śródlądowe z murawami napiaskowymi (</w:t>
      </w:r>
      <w:r w:rsidRPr="009D0769">
        <w:rPr>
          <w:rFonts w:ascii="Garamond" w:hAnsi="Garamond"/>
          <w:i/>
          <w:iCs/>
          <w:sz w:val="22"/>
          <w:szCs w:val="22"/>
        </w:rPr>
        <w:t>Corynephorus, Agrostis</w:t>
      </w:r>
      <w:r w:rsidRPr="009D0769">
        <w:rPr>
          <w:rFonts w:ascii="Garamond" w:hAnsi="Garamond"/>
          <w:sz w:val="22"/>
          <w:szCs w:val="22"/>
        </w:rPr>
        <w:t>)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3130 Brzegi lub osuszane dna zbiorników wodnych ze zbiorowiskami z </w:t>
      </w:r>
      <w:r w:rsidRPr="009D0769">
        <w:rPr>
          <w:rFonts w:ascii="Garamond" w:hAnsi="Garamond"/>
          <w:i/>
          <w:iCs/>
          <w:sz w:val="22"/>
          <w:szCs w:val="22"/>
        </w:rPr>
        <w:t xml:space="preserve">Littorelletea, Isoëto Nanojuncetea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3150 Starorzecza i naturalne eutroficzne zbiorniki wodne ze zbiorowiskami z </w:t>
      </w:r>
      <w:r w:rsidRPr="009D0769">
        <w:rPr>
          <w:rFonts w:ascii="Garamond" w:hAnsi="Garamond"/>
          <w:i/>
          <w:iCs/>
          <w:sz w:val="22"/>
          <w:szCs w:val="22"/>
        </w:rPr>
        <w:t xml:space="preserve">Nympheion, Potamion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3270 Zalewane muliste brzegi rzek z roślinnością </w:t>
      </w:r>
      <w:r w:rsidRPr="009D0769">
        <w:rPr>
          <w:rFonts w:ascii="Garamond" w:hAnsi="Garamond"/>
          <w:i/>
          <w:iCs/>
          <w:sz w:val="22"/>
          <w:szCs w:val="22"/>
        </w:rPr>
        <w:t>Chenopodion rubri p.p. i Bidention p.p.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6410 Zmiennowilgotne łąki trzęślicowe (</w:t>
      </w:r>
      <w:r w:rsidRPr="009D0769">
        <w:rPr>
          <w:rFonts w:ascii="Garamond" w:hAnsi="Garamond"/>
          <w:i/>
          <w:iCs/>
          <w:sz w:val="22"/>
          <w:szCs w:val="22"/>
        </w:rPr>
        <w:t>Molinion</w:t>
      </w:r>
      <w:r w:rsidRPr="009D0769">
        <w:rPr>
          <w:rFonts w:ascii="Garamond" w:hAnsi="Garamond"/>
          <w:sz w:val="22"/>
          <w:szCs w:val="22"/>
        </w:rPr>
        <w:t xml:space="preserve">)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6430 Ziołorośla górskie (</w:t>
      </w:r>
      <w:r w:rsidRPr="009D0769">
        <w:rPr>
          <w:rFonts w:ascii="Garamond" w:hAnsi="Garamond"/>
          <w:i/>
          <w:iCs/>
          <w:sz w:val="22"/>
          <w:szCs w:val="22"/>
        </w:rPr>
        <w:t>Adenostylion alliariae</w:t>
      </w:r>
      <w:r w:rsidRPr="009D0769">
        <w:rPr>
          <w:rFonts w:ascii="Garamond" w:hAnsi="Garamond"/>
          <w:sz w:val="22"/>
          <w:szCs w:val="22"/>
        </w:rPr>
        <w:t>) i ziołorośla nadrzeczne (</w:t>
      </w:r>
      <w:r w:rsidRPr="009D0769">
        <w:rPr>
          <w:rFonts w:ascii="Garamond" w:hAnsi="Garamond"/>
          <w:i/>
          <w:iCs/>
          <w:sz w:val="22"/>
          <w:szCs w:val="22"/>
        </w:rPr>
        <w:t>Convolvuletalia sepium</w:t>
      </w:r>
      <w:r w:rsidRPr="009D0769">
        <w:rPr>
          <w:rFonts w:ascii="Garamond" w:hAnsi="Garamond"/>
          <w:sz w:val="22"/>
          <w:szCs w:val="22"/>
        </w:rPr>
        <w:t xml:space="preserve">)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6510 Niżowe i górskie świeże łąki użytkowane ekstensywnie (</w:t>
      </w:r>
      <w:r w:rsidRPr="009D0769">
        <w:rPr>
          <w:rFonts w:ascii="Garamond" w:hAnsi="Garamond"/>
          <w:i/>
          <w:iCs/>
          <w:sz w:val="22"/>
          <w:szCs w:val="22"/>
        </w:rPr>
        <w:t>Arrhenatherion elatioris</w:t>
      </w:r>
      <w:r w:rsidRPr="009D0769">
        <w:rPr>
          <w:rFonts w:ascii="Garamond" w:hAnsi="Garamond"/>
          <w:sz w:val="22"/>
          <w:szCs w:val="22"/>
        </w:rPr>
        <w:t xml:space="preserve">)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7140 Torfowiska przejściowe i trzęsawiska (przeważnie z roślinnością z </w:t>
      </w:r>
      <w:r w:rsidRPr="009D0769">
        <w:rPr>
          <w:rFonts w:ascii="Garamond" w:hAnsi="Garamond"/>
          <w:i/>
          <w:iCs/>
          <w:sz w:val="22"/>
          <w:szCs w:val="22"/>
        </w:rPr>
        <w:t>Scheuchzerio-Caricete</w:t>
      </w:r>
      <w:r w:rsidRPr="009D0769">
        <w:rPr>
          <w:rFonts w:ascii="Garamond" w:hAnsi="Garamond"/>
          <w:sz w:val="22"/>
          <w:szCs w:val="22"/>
        </w:rPr>
        <w:t xml:space="preserve">)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9170 Grąd środkowoeuropejski i subkontynentalny (</w:t>
      </w:r>
      <w:r w:rsidRPr="009D0769">
        <w:rPr>
          <w:rFonts w:ascii="Garamond" w:hAnsi="Garamond"/>
          <w:i/>
          <w:iCs/>
          <w:sz w:val="22"/>
          <w:szCs w:val="22"/>
        </w:rPr>
        <w:t>Galio-Carpinetum, Tilio-Carpinetum</w:t>
      </w:r>
      <w:r w:rsidRPr="009D0769">
        <w:rPr>
          <w:rFonts w:ascii="Garamond" w:hAnsi="Garamond"/>
          <w:sz w:val="22"/>
          <w:szCs w:val="22"/>
        </w:rPr>
        <w:t xml:space="preserve">)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91D0 Bory i lasy bagienne (</w:t>
      </w:r>
      <w:r w:rsidRPr="009D0769">
        <w:rPr>
          <w:rFonts w:ascii="Garamond" w:hAnsi="Garamond"/>
          <w:i/>
          <w:iCs/>
          <w:sz w:val="22"/>
          <w:szCs w:val="22"/>
        </w:rPr>
        <w:t>Vaccinio uliginosi Betuletum pubescentis, Vaccinio uliginosi Pinetum, Pino mugo-Sphagnetum, Sphagno girgensohnii-Piceetum</w:t>
      </w:r>
      <w:r w:rsidRPr="009D0769">
        <w:rPr>
          <w:rFonts w:ascii="Garamond" w:hAnsi="Garamond"/>
          <w:sz w:val="22"/>
          <w:szCs w:val="22"/>
        </w:rPr>
        <w:t xml:space="preserve">) i brzozowo-sosnowe bagienne lasy borealne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91E0 Łęgi wierzbowe, topolowe, olszowe i jesionowe (</w:t>
      </w:r>
      <w:r w:rsidRPr="009D0769">
        <w:rPr>
          <w:rFonts w:ascii="Garamond" w:hAnsi="Garamond"/>
          <w:i/>
          <w:iCs/>
          <w:sz w:val="22"/>
          <w:szCs w:val="22"/>
        </w:rPr>
        <w:t>Salicetum albo-fragilis, Populetum albae, Alnenion glutinoso-incanae</w:t>
      </w:r>
      <w:r w:rsidRPr="009D0769">
        <w:rPr>
          <w:rFonts w:ascii="Garamond" w:hAnsi="Garamond"/>
          <w:sz w:val="22"/>
          <w:szCs w:val="22"/>
        </w:rPr>
        <w:t xml:space="preserve">) i olsy źródliskowe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>91T0 Sosnowy bór chrobotkowy (</w:t>
      </w:r>
      <w:r w:rsidRPr="009D0769">
        <w:rPr>
          <w:rFonts w:ascii="Garamond" w:hAnsi="Garamond"/>
          <w:i/>
          <w:iCs/>
          <w:sz w:val="22"/>
          <w:szCs w:val="22"/>
        </w:rPr>
        <w:t>Cladonio-Pinetum i chrobotkowa postać Peucedano-Pinetum</w:t>
      </w:r>
      <w:r w:rsidRPr="009D0769">
        <w:rPr>
          <w:rFonts w:ascii="Garamond" w:hAnsi="Garamond"/>
          <w:sz w:val="22"/>
          <w:szCs w:val="22"/>
        </w:rPr>
        <w:t>)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1014 poczwarówka zwężona </w:t>
      </w:r>
      <w:r w:rsidRPr="009D0769">
        <w:rPr>
          <w:rFonts w:ascii="Garamond" w:hAnsi="Garamond"/>
          <w:i/>
          <w:iCs/>
          <w:sz w:val="22"/>
          <w:szCs w:val="22"/>
        </w:rPr>
        <w:t>Vertigo angustior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1016 poczwarówka jajowata </w:t>
      </w:r>
      <w:r w:rsidRPr="009D0769">
        <w:rPr>
          <w:rFonts w:ascii="Garamond" w:hAnsi="Garamond"/>
          <w:i/>
          <w:iCs/>
          <w:sz w:val="22"/>
          <w:szCs w:val="22"/>
        </w:rPr>
        <w:t>Vertigo moulinsiana</w:t>
      </w:r>
      <w:r w:rsidRPr="009D0769">
        <w:rPr>
          <w:rFonts w:ascii="Garamond" w:hAnsi="Garamond"/>
          <w:sz w:val="22"/>
          <w:szCs w:val="22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4056 zatoczek łamliwy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Anissus vorticellus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</w:rPr>
        <w:t xml:space="preserve">1084 pachnica dębowa </w:t>
      </w:r>
      <w:r w:rsidRPr="009D0769">
        <w:rPr>
          <w:rFonts w:ascii="Garamond" w:hAnsi="Garamond"/>
          <w:i/>
          <w:iCs/>
          <w:sz w:val="22"/>
          <w:szCs w:val="22"/>
        </w:rPr>
        <w:t>Osmoderma eremita</w:t>
      </w:r>
      <w:r w:rsidRPr="009D0769">
        <w:rPr>
          <w:rFonts w:ascii="Garamond" w:hAnsi="Garamond"/>
          <w:sz w:val="22"/>
          <w:szCs w:val="22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1037 trzepla zielona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Ophiogomphus cecylia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4038 czerwończyk fioletek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Lycaena helle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1060 czerwończyk nieparek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Lycaena dispar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EF0F79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6177 modraszek telejus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Phengaris teleius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9D0769">
        <w:rPr>
          <w:rFonts w:ascii="Garamond" w:hAnsi="Garamond"/>
          <w:sz w:val="22"/>
          <w:szCs w:val="22"/>
          <w:lang w:val="en-US"/>
        </w:rPr>
        <w:lastRenderedPageBreak/>
        <w:t xml:space="preserve">6179 modraszek nausitous 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Maculinea (Phengaris) nausithous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1166 traszka grzebieniasta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Triturus cristatus (Triturus cristatus cristatus)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1188 kumak nizinny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Bombina bombina</w:t>
      </w:r>
      <w:r w:rsidRPr="009D0769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</w:rPr>
        <w:t xml:space="preserve">1145 piskorz </w:t>
      </w:r>
      <w:r w:rsidRPr="009D0769">
        <w:rPr>
          <w:rFonts w:ascii="Garamond" w:hAnsi="Garamond"/>
          <w:i/>
          <w:iCs/>
          <w:sz w:val="22"/>
          <w:szCs w:val="22"/>
        </w:rPr>
        <w:t>Misgurnus fossilis</w:t>
      </w:r>
      <w:r w:rsidRPr="009D0769">
        <w:rPr>
          <w:rFonts w:ascii="Garamond" w:hAnsi="Garamond"/>
          <w:sz w:val="22"/>
          <w:szCs w:val="22"/>
        </w:rPr>
        <w:t xml:space="preserve"> 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</w:rPr>
        <w:t xml:space="preserve">1163 głowacz białopłetwy </w:t>
      </w:r>
      <w:r w:rsidRPr="009D0769">
        <w:rPr>
          <w:rFonts w:ascii="Garamond" w:hAnsi="Garamond"/>
          <w:i/>
          <w:iCs/>
          <w:sz w:val="22"/>
          <w:szCs w:val="22"/>
        </w:rPr>
        <w:t>Cottus gobio</w:t>
      </w:r>
      <w:r w:rsidRPr="009D0769">
        <w:rPr>
          <w:rFonts w:ascii="Garamond" w:hAnsi="Garamond"/>
          <w:sz w:val="22"/>
          <w:szCs w:val="22"/>
        </w:rPr>
        <w:t xml:space="preserve"> </w:t>
      </w:r>
    </w:p>
    <w:p w:rsidR="00260601" w:rsidRPr="009D0769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  <w:lang w:val="en-US"/>
        </w:rPr>
        <w:t xml:space="preserve">1098 minogi czarnomorskie </w:t>
      </w:r>
      <w:r w:rsidRPr="009D0769">
        <w:rPr>
          <w:rFonts w:ascii="Garamond" w:hAnsi="Garamond"/>
          <w:i/>
          <w:iCs/>
          <w:sz w:val="22"/>
          <w:szCs w:val="22"/>
          <w:lang w:val="en-US"/>
        </w:rPr>
        <w:t>Eudontomyzon spp</w:t>
      </w:r>
      <w:r w:rsidRPr="009D0769">
        <w:rPr>
          <w:rFonts w:ascii="Garamond" w:hAnsi="Garamond"/>
          <w:sz w:val="22"/>
          <w:szCs w:val="22"/>
          <w:lang w:val="en-US"/>
        </w:rPr>
        <w:t xml:space="preserve">. </w:t>
      </w:r>
    </w:p>
    <w:p w:rsidR="00260601" w:rsidRPr="00260601" w:rsidRDefault="00260601" w:rsidP="00260601">
      <w:pPr>
        <w:pStyle w:val="Akapitzlist"/>
        <w:numPr>
          <w:ilvl w:val="0"/>
          <w:numId w:val="17"/>
        </w:numPr>
        <w:rPr>
          <w:rFonts w:ascii="Garamond" w:hAnsi="Garamond"/>
          <w:sz w:val="22"/>
          <w:szCs w:val="22"/>
          <w:lang w:val="en-US"/>
        </w:rPr>
      </w:pPr>
      <w:r w:rsidRPr="009D0769">
        <w:rPr>
          <w:rFonts w:ascii="Garamond" w:hAnsi="Garamond"/>
          <w:sz w:val="22"/>
          <w:szCs w:val="22"/>
          <w:lang w:val="en-US"/>
        </w:rPr>
        <w:t>1324</w:t>
      </w:r>
      <w:r w:rsidRPr="00260601">
        <w:rPr>
          <w:rFonts w:ascii="Garamond" w:hAnsi="Garamond"/>
          <w:sz w:val="22"/>
          <w:szCs w:val="22"/>
          <w:lang w:val="en-US"/>
        </w:rPr>
        <w:t xml:space="preserve"> nocek duży </w:t>
      </w:r>
      <w:r w:rsidRPr="00260601">
        <w:rPr>
          <w:rFonts w:ascii="Garamond" w:hAnsi="Garamond"/>
          <w:i/>
          <w:iCs/>
          <w:sz w:val="22"/>
          <w:szCs w:val="22"/>
          <w:lang w:val="en-US"/>
        </w:rPr>
        <w:t>Myotis myotis</w:t>
      </w:r>
      <w:r w:rsidRPr="00260601">
        <w:rPr>
          <w:rFonts w:ascii="Garamond" w:hAnsi="Garamond"/>
          <w:sz w:val="22"/>
          <w:szCs w:val="22"/>
          <w:lang w:val="en-US"/>
        </w:rPr>
        <w:t xml:space="preserve"> </w:t>
      </w:r>
    </w:p>
    <w:p w:rsidR="00260601" w:rsidRPr="009B7F8C" w:rsidRDefault="00260601" w:rsidP="00260601">
      <w:pPr>
        <w:rPr>
          <w:color w:val="000000"/>
          <w:sz w:val="22"/>
          <w:szCs w:val="22"/>
        </w:rPr>
      </w:pPr>
    </w:p>
    <w:p w:rsidR="00260601" w:rsidRDefault="00260601" w:rsidP="00260601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 przypadku stwierdzenia siedlisk przyrodniczych i gatunków roślin i zwierząt oznaczonych w SDF literą D lub innych – niewymienionych w SDF-ie siedlisk przyrodniczych i gatunków z załącznika I i II Dyrektywy Siedliskowej, a zidentyfikowanych w trakcie prac terenowych wykonawca zobowiązany jest niezwłocznie powiadomić o tym Zamawiającego oraz uzgodnić z zamawiającym zasadność ewentualnego objęcia ich zakresem ekspertyzy. W uzasadnionych przypadkach może zaistnieć potrzeba rozszerzenia listy przedmiotów ochrony.</w:t>
      </w:r>
    </w:p>
    <w:p w:rsidR="00260601" w:rsidRDefault="00260601" w:rsidP="00260601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260601" w:rsidRDefault="00260601" w:rsidP="00260601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 przypadku gdy występowanie danego siedliska przyrodni</w:t>
      </w:r>
      <w:r w:rsidR="00EF0F79">
        <w:rPr>
          <w:rFonts w:ascii="Garamond" w:hAnsi="Garamond"/>
          <w:color w:val="auto"/>
          <w:sz w:val="22"/>
          <w:szCs w:val="22"/>
        </w:rPr>
        <w:t xml:space="preserve">czego lub gatunku nie zostanie </w:t>
      </w:r>
      <w:r>
        <w:rPr>
          <w:rFonts w:ascii="Garamond" w:hAnsi="Garamond"/>
          <w:color w:val="auto"/>
          <w:sz w:val="22"/>
          <w:szCs w:val="22"/>
        </w:rPr>
        <w:t>potwierdzone na badanym terenie należy w ekspertyzie przedstawić uzasadnienie merytoryczne możliwych powodów zaistnienia takiej sytuacji, z uwzględnieniem możliwości występowania na pozostałym obszarze nieobjętym ekspertyzą.</w:t>
      </w:r>
    </w:p>
    <w:p w:rsidR="00260601" w:rsidRDefault="00260601" w:rsidP="00260601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Wykonanie </w:t>
      </w:r>
      <w:r>
        <w:rPr>
          <w:rFonts w:ascii="Garamond" w:hAnsi="Garamond"/>
          <w:b/>
          <w:sz w:val="22"/>
          <w:szCs w:val="22"/>
        </w:rPr>
        <w:t>opisu przedmiotów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ochrony</w:t>
      </w:r>
      <w:r>
        <w:rPr>
          <w:rFonts w:ascii="Garamond" w:hAnsi="Garamond"/>
          <w:sz w:val="22"/>
          <w:szCs w:val="22"/>
        </w:rPr>
        <w:t xml:space="preserve"> zawierającego: ogólne informacje o opisywanym przedmiocie</w:t>
      </w:r>
      <w:r>
        <w:rPr>
          <w:rFonts w:ascii="Garamond" w:hAnsi="Garamond"/>
          <w:color w:val="auto"/>
          <w:sz w:val="22"/>
          <w:szCs w:val="22"/>
        </w:rPr>
        <w:t xml:space="preserve"> (w przypadku siedlisk przyrodniczych dodatkowo podtyp siedliska</w:t>
      </w:r>
      <w:r>
        <w:rPr>
          <w:rFonts w:ascii="Garamond" w:hAnsi="Garamond"/>
          <w:sz w:val="22"/>
          <w:szCs w:val="22"/>
        </w:rPr>
        <w:t>), jego stanie zachowania w obszarze, ocenę wartości obszaru dla ochrony opisywanego przedmiotu wraz z uzasadnieniem, informacje uzasadniające nadanie proponowanych przez wykonawcę ocen, w tym wskazanie źródła danych.</w:t>
      </w:r>
    </w:p>
    <w:p w:rsidR="00260601" w:rsidRDefault="00260601" w:rsidP="00260601">
      <w:pPr>
        <w:pStyle w:val="Default"/>
        <w:ind w:left="72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powinien dążyć do identyfikacji, pozyskania i zestawienia wszystkich dostępnych źródeł informacji o występowaniu przedmiotów ochrony, ich stanie, zagrożeniach, wymogach i możliwości ochrony, </w:t>
      </w:r>
      <w:r>
        <w:rPr>
          <w:rFonts w:ascii="Garamond" w:hAnsi="Garamond"/>
          <w:color w:val="auto"/>
          <w:sz w:val="22"/>
          <w:szCs w:val="22"/>
        </w:rPr>
        <w:t>w tym m.in. dokonanie analizy zapisów uproszczonych planów urządzania lasu.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Dokonanie </w:t>
      </w:r>
      <w:r>
        <w:rPr>
          <w:rFonts w:ascii="Garamond" w:hAnsi="Garamond"/>
          <w:b/>
          <w:bCs/>
          <w:sz w:val="22"/>
          <w:szCs w:val="22"/>
        </w:rPr>
        <w:t xml:space="preserve">oceny stanu </w:t>
      </w:r>
      <w:r>
        <w:rPr>
          <w:rFonts w:ascii="Garamond" w:hAnsi="Garamond"/>
          <w:bCs/>
          <w:sz w:val="22"/>
          <w:szCs w:val="22"/>
        </w:rPr>
        <w:t>przedmiotów ochrony: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Ocenę stanu ochrony przedmiotów ochrony wykonuje się na podstawie wyników wizji terenowych przeprowadzonych w konkretnych płatach siedliska oraz stanowiskach gatunków uwzględniając zgromadzone dane i informacje. W przypadku, gdy istnieją wcześniejsze dane dotyczące oceny danego płatu siedliska/stanowiska gatunku lub objęte są Państwowym Monitoringiem Środowiska dane te należy przedstawić jako osobną informację.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Ocena stanu przedmiotów ochrony wraz z wnioskami podawana jest osobno dla każdego płatu siedliska przyrodniczego, gatunku i jego siedliska. 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Ocenę stanu ochrony przedmiotów ochrony należy dokonać w oparciu o parametry i skalę określoną w załączniku do rozporządzenia Ministra Środowiska z dnia 17 lutego 2010 roku w sprawie sporządzania projektu planu zadań ochronnych dla obszaru Natura 2000 (Dz. U. Nr 34, poz. 186, z późn. zm.), w której „FV” oznacza stan właściwy, „U1 – niezadowalający”, „U2 – zły”, „xx – nieznany”. W ostatnim przypadku należy podać stosowne uzasadnienie braku oceny.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Podstawą oceny parametru „powierzchni siedliska” i „struktury i funkcji” siedliska przyrodniczego oraz „populacji” i „siedliska” gatunku są odrębne zestawy wskaźników opracowane dla poszczególnych typów siedlisk i gatunków, przyjęte na podstawie wiedzy naukowej do celów Państwowego Monitoringu Środowiska (PMŚ). Zestawy wskaźników dla siedlisk i gatunków wraz z zasadami ich interpretacji są dostępne na stronie internetowej GIOŚ w zakładce monitoring przyrody (www.gios.gov.pl/siedliska). 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Ocenę stanu gatunków lub typów siedlisk przyrodniczych będących przedmiotem ochrony w obszarze, należy wykonać zgodnie z przyjętą skalą, przy czym oceny te powinny być zgeneralizowane na poziomie obszaru. </w:t>
      </w:r>
      <w:r>
        <w:rPr>
          <w:rFonts w:ascii="Garamond" w:hAnsi="Garamond"/>
          <w:sz w:val="22"/>
          <w:szCs w:val="22"/>
        </w:rPr>
        <w:t xml:space="preserve">W trakcie prac należy uwzględnić sąsiedztwo innych obszarów Natura 2000 i w razie potrzeby zidentyfikować związki funkcjonalne ich przedmiotów ochrony z obszarem objętym Zadaniem w celu zapewnienia spójności sieci Natura 2000. 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Podczas określania parametru powierzchni siedliska przyrodniczego w obszarze należy wziąć pod uwagę również rozmieszczenie siedliska przyrodniczego w obszarze, jego fragmentację, trendy zachodzących zmian oraz fragmentację poszczególnych płatów. 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Podczas określania parametru stanu populacji gatunku w obszarze należy wziąć pod uwagę również rozmieszczenie i liczebność gatunku w obszarze oraz trendy zachodzących zmian w tej liczebności a także uwzględnieniu cech właściwych dla danego gatunku.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 „szanse zachowania siedliska / gatunku” należy ocenić, biorąc w szczególności pod uwagę istniejące trendy i zjawiska, a także istniejące plany i programy oraz wyniki raportów o stanie zachowania typów siedlisk przyrodniczych, oraz gatunków zwierząt na poziomie kraju, przekazane Komisji Europejskiej, dostępne na ww. stronie internetowej.</w:t>
      </w:r>
    </w:p>
    <w:p w:rsidR="00260601" w:rsidRDefault="00260601" w:rsidP="00260601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Podczas prac nad dokumentacją, Wykonawca rozważy czy istnieje konieczność wskazania kluczowych siedlisk przyrodniczych i gatunków, decydujących o wyznaczeniu danego obszaru, tak aby: </w:t>
      </w:r>
    </w:p>
    <w:p w:rsidR="00260601" w:rsidRDefault="00260601" w:rsidP="00260601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była możliwość szczególnie starannego zaplanowania ich ochrony; </w:t>
      </w:r>
    </w:p>
    <w:p w:rsidR="00260601" w:rsidRDefault="00260601" w:rsidP="00260601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rozstrzygać na ich rzecz konflikty między celami ich ochrony a celami innych przedmiotów ochrony. 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Określenie populacji zwierząt, w tym podanie jej typu, wielkości, jednostki i kategorii w zależności od uzyskanych danych</w:t>
      </w:r>
      <w:r w:rsidR="00B96F90">
        <w:rPr>
          <w:rFonts w:ascii="Garamond" w:hAnsi="Garamond"/>
          <w:sz w:val="22"/>
          <w:szCs w:val="22"/>
        </w:rPr>
        <w:t>; w przypadku nietoperzy liczebność populacji podać z podziałem na populację rozrodczą i zimującą.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Wskazanie </w:t>
      </w:r>
      <w:r>
        <w:rPr>
          <w:rFonts w:ascii="Garamond" w:hAnsi="Garamond"/>
          <w:b/>
          <w:color w:val="auto"/>
          <w:sz w:val="22"/>
          <w:szCs w:val="22"/>
        </w:rPr>
        <w:t>lokalizacji</w:t>
      </w:r>
      <w:r w:rsidR="00EF0F79">
        <w:rPr>
          <w:rFonts w:ascii="Garamond" w:hAnsi="Garamond"/>
          <w:color w:val="auto"/>
          <w:sz w:val="22"/>
          <w:szCs w:val="22"/>
        </w:rPr>
        <w:t xml:space="preserve"> miejsc, w których </w:t>
      </w:r>
      <w:r>
        <w:rPr>
          <w:rFonts w:ascii="Garamond" w:hAnsi="Garamond"/>
          <w:color w:val="auto"/>
          <w:sz w:val="22"/>
          <w:szCs w:val="22"/>
        </w:rPr>
        <w:t>w wyniku szczegółowych spisów stwierdzono poszczególne siedliska przyrodnicze, gatunki zwierząt i ich siedliska (nr GUID oraz działki ewidencyjn</w:t>
      </w:r>
      <w:r w:rsidR="00EF0F79">
        <w:rPr>
          <w:rFonts w:ascii="Garamond" w:hAnsi="Garamond"/>
          <w:color w:val="auto"/>
          <w:sz w:val="22"/>
          <w:szCs w:val="22"/>
        </w:rPr>
        <w:t>e), wraz z podaniem powierzchni</w:t>
      </w:r>
      <w:r>
        <w:rPr>
          <w:rFonts w:ascii="Garamond" w:hAnsi="Garamond"/>
          <w:color w:val="auto"/>
          <w:sz w:val="22"/>
          <w:szCs w:val="22"/>
        </w:rPr>
        <w:t xml:space="preserve"> każdego siedliska prz</w:t>
      </w:r>
      <w:r w:rsidR="006B4173">
        <w:rPr>
          <w:rFonts w:ascii="Garamond" w:hAnsi="Garamond"/>
          <w:color w:val="auto"/>
          <w:sz w:val="22"/>
          <w:szCs w:val="22"/>
        </w:rPr>
        <w:t xml:space="preserve">yrodniczego i siedliska gatunku; </w:t>
      </w:r>
      <w:r w:rsidR="006B4173">
        <w:rPr>
          <w:rFonts w:ascii="Garamond" w:hAnsi="Garamond"/>
          <w:sz w:val="22"/>
          <w:szCs w:val="22"/>
        </w:rPr>
        <w:t>w przypadku nietoperzy lokalizację miejsc podać z podziałem  na miejsca rozrodu, bytowania i hibernacji.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Podanie </w:t>
      </w:r>
      <w:r>
        <w:rPr>
          <w:rFonts w:ascii="Garamond" w:hAnsi="Garamond"/>
          <w:b/>
          <w:sz w:val="22"/>
          <w:szCs w:val="22"/>
        </w:rPr>
        <w:t>metodyki</w:t>
      </w:r>
      <w:r>
        <w:rPr>
          <w:rFonts w:ascii="Garamond" w:hAnsi="Garamond"/>
          <w:sz w:val="22"/>
          <w:szCs w:val="22"/>
        </w:rPr>
        <w:t xml:space="preserve"> prowadzonych badań.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Wykonanie i załączenie fotografii dla każdego płatu/stanowiska. Przy opisach fotografii należy podać: nr GUID, nazwę obrazowanego obiektu, datę wykonania fotografii, kierunek wykonania ujęcia (np. S, SW, SE). 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</w:p>
    <w:p w:rsidR="00260601" w:rsidRDefault="00260601" w:rsidP="00260601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Identyfikacja, opis i ocena istniejących lub potencjalnych </w:t>
      </w:r>
      <w:r>
        <w:rPr>
          <w:rFonts w:ascii="Garamond" w:hAnsi="Garamond"/>
          <w:b/>
          <w:bCs/>
          <w:sz w:val="22"/>
          <w:szCs w:val="22"/>
        </w:rPr>
        <w:t>zagrożeń</w:t>
      </w:r>
      <w:r>
        <w:rPr>
          <w:rFonts w:ascii="Garamond" w:hAnsi="Garamond"/>
          <w:bCs/>
          <w:sz w:val="22"/>
          <w:szCs w:val="22"/>
        </w:rPr>
        <w:t xml:space="preserve"> wewnętrznych i zewnętrznych, </w:t>
      </w:r>
    </w:p>
    <w:p w:rsidR="00260601" w:rsidRDefault="00260601" w:rsidP="00260601">
      <w:pPr>
        <w:pStyle w:val="Defaul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ustali listę zagrożeń i następnie określi ich charakter (wewnętrzne, zewnętrzne) oraz wpływ na przedmioty ochrony, w odniesieniu do każdego płatu/stanowiska,</w:t>
      </w:r>
    </w:p>
    <w:p w:rsidR="00260601" w:rsidRDefault="00260601" w:rsidP="00260601">
      <w:pPr>
        <w:pStyle w:val="Defaul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oceni kierunki zmian uwarunkowań przyrodniczych, społecznych i gospodarczych.</w:t>
      </w:r>
    </w:p>
    <w:p w:rsidR="00260601" w:rsidRDefault="00260601" w:rsidP="00260601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Określenie </w:t>
      </w:r>
      <w:r>
        <w:rPr>
          <w:rFonts w:ascii="Garamond" w:hAnsi="Garamond"/>
          <w:b/>
          <w:bCs/>
          <w:sz w:val="22"/>
          <w:szCs w:val="22"/>
        </w:rPr>
        <w:t>celów</w:t>
      </w:r>
      <w:r>
        <w:rPr>
          <w:rFonts w:ascii="Garamond" w:hAnsi="Garamond"/>
          <w:bCs/>
          <w:sz w:val="22"/>
          <w:szCs w:val="22"/>
        </w:rPr>
        <w:t xml:space="preserve"> działań ochronnych do osiągnięcia w okresie 10 lat wraz z wskazaniem perspektywy osiągnięcia właściwego stanu ochrony,</w:t>
      </w:r>
    </w:p>
    <w:p w:rsidR="00260601" w:rsidRDefault="00260601" w:rsidP="00260601">
      <w:pPr>
        <w:pStyle w:val="Default"/>
        <w:numPr>
          <w:ilvl w:val="0"/>
          <w:numId w:val="6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określi długofalową wizję właściwego stanu przedmiotów ochrony obszaru Natura 2000, która powinna uwzględniać odpowiednie dla tego stanu parametry.</w:t>
      </w:r>
    </w:p>
    <w:p w:rsidR="00260601" w:rsidRDefault="00260601" w:rsidP="00260601">
      <w:pPr>
        <w:pStyle w:val="Default"/>
        <w:numPr>
          <w:ilvl w:val="0"/>
          <w:numId w:val="6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Przy ustalania celów działań ochronnych dla </w:t>
      </w:r>
      <w:r>
        <w:rPr>
          <w:rFonts w:ascii="Garamond" w:hAnsi="Garamond"/>
          <w:color w:val="auto"/>
          <w:sz w:val="22"/>
          <w:szCs w:val="22"/>
        </w:rPr>
        <w:t>przedmiotów ochrony</w:t>
      </w:r>
      <w:r>
        <w:rPr>
          <w:rFonts w:ascii="Garamond" w:hAnsi="Garamond"/>
          <w:sz w:val="22"/>
          <w:szCs w:val="22"/>
        </w:rPr>
        <w:t xml:space="preserve"> Wykonawca powinien kierować się: </w:t>
      </w:r>
    </w:p>
    <w:p w:rsidR="00260601" w:rsidRDefault="00260601" w:rsidP="00260601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koniecznością utrzymania właściwego stanu ochrony przedmiotów ochrony, oraz jeżeli ten stan został oceniony jako niezadowalający lub zły, możliwością osiągnięcia stanu właściwego w danym przedziale czasowym; w przypadku stwierdzenia braku możliwości osiągnięcia właściwego stanu należy podać przyczyny, które na to wpływają; </w:t>
      </w:r>
    </w:p>
    <w:p w:rsidR="00260601" w:rsidRDefault="00260601" w:rsidP="00260601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możliwością likwidacji lub ograniczenia istniejących lub potencjalnych zagrożeń; </w:t>
      </w:r>
    </w:p>
    <w:p w:rsidR="00260601" w:rsidRDefault="00260601" w:rsidP="00260601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istniejącymi i potencjalnymi uwarunkowaniami (w tym społecznymi i gospodarczymi) oraz ograniczeniami (w tym: technicznymi, finansowymi, organizacyjnymi, wynikającymi z braku wiedzy); </w:t>
      </w:r>
    </w:p>
    <w:p w:rsidR="00260601" w:rsidRDefault="00260601" w:rsidP="00260601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możliwością monitorowania i weryfikacji osiągania celów. </w:t>
      </w:r>
    </w:p>
    <w:p w:rsidR="00260601" w:rsidRDefault="00260601" w:rsidP="00260601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Propozycje </w:t>
      </w:r>
      <w:r>
        <w:rPr>
          <w:rFonts w:ascii="Garamond" w:hAnsi="Garamond"/>
          <w:b/>
          <w:bCs/>
          <w:sz w:val="22"/>
          <w:szCs w:val="22"/>
        </w:rPr>
        <w:t>zadań ochronnych</w:t>
      </w:r>
      <w:r>
        <w:rPr>
          <w:rFonts w:ascii="Garamond" w:hAnsi="Garamond"/>
          <w:bCs/>
          <w:sz w:val="22"/>
          <w:szCs w:val="22"/>
        </w:rPr>
        <w:t>,</w:t>
      </w:r>
    </w:p>
    <w:p w:rsidR="00260601" w:rsidRDefault="00260601" w:rsidP="00260601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zaproponuje działania ochronne – fakultatywne </w:t>
      </w:r>
      <w:r>
        <w:rPr>
          <w:rFonts w:ascii="Garamond" w:hAnsi="Garamond"/>
          <w:color w:val="auto"/>
          <w:sz w:val="22"/>
          <w:szCs w:val="22"/>
        </w:rPr>
        <w:t xml:space="preserve">i/lub </w:t>
      </w:r>
      <w:r>
        <w:rPr>
          <w:rFonts w:ascii="Garamond" w:hAnsi="Garamond"/>
          <w:sz w:val="22"/>
          <w:szCs w:val="22"/>
        </w:rPr>
        <w:t xml:space="preserve">obligatoryjne dla poszczególnych przedmiotów ochrony wynikających z celów, które mogą dotyczyć między innymi: </w:t>
      </w:r>
    </w:p>
    <w:p w:rsidR="00260601" w:rsidRDefault="00260601" w:rsidP="00260601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wykonania określonych, jednorazowych bądź powtarzalnych zadań ochrony czynnej; </w:t>
      </w:r>
    </w:p>
    <w:p w:rsidR="00260601" w:rsidRDefault="00260601" w:rsidP="00260601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wdrożenia zmian w stosowanych metodach gospodarowania w siedliskach przyrodniczych i siedliskach gatunków, jeżeli obecny stan przedmiotów ochrony w obszarze został oceniony jako niezadowalający lub zły; </w:t>
      </w:r>
    </w:p>
    <w:p w:rsidR="00260601" w:rsidRDefault="00260601" w:rsidP="00260601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utrzymania określonych metod gospodarowania w siedliskach przyrodniczych i siedliskach gatunków, jeżeli obecny stan przedmiotów ochrony w obszarze został oceniony jako właściwy; </w:t>
      </w:r>
    </w:p>
    <w:p w:rsidR="00260601" w:rsidRDefault="00260601" w:rsidP="00260601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Planowane działania ochronne: </w:t>
      </w:r>
    </w:p>
    <w:p w:rsidR="00260601" w:rsidRDefault="00260601" w:rsidP="00260601">
      <w:pPr>
        <w:pStyle w:val="Default"/>
        <w:numPr>
          <w:ilvl w:val="0"/>
          <w:numId w:val="10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muszą być indywidualnie zaprojektowane i dostosowane do każdego płatu siedliska/stanowiska, jeśli wynika to z ich specyfiki i zróżnicowania; </w:t>
      </w:r>
    </w:p>
    <w:p w:rsidR="00260601" w:rsidRDefault="00260601" w:rsidP="00260601">
      <w:pPr>
        <w:pStyle w:val="Default"/>
        <w:numPr>
          <w:ilvl w:val="0"/>
          <w:numId w:val="10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będą polegały na określeniu ogólnych reguł i procedur gospodarowania np. ogólnych reguł do stosowania w gospodarce leśnej, rolnej, rybackiej lub będą polegały na wykorzystaniu mechanizmów o ogólnym zastosowaniu (np. pakietów rolnośrodowiskowych). </w:t>
      </w:r>
    </w:p>
    <w:p w:rsidR="00260601" w:rsidRDefault="00260601" w:rsidP="00260601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Planując działania ochronne, należy określić: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rodzaj działań ochronnych;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zakres prac przewidzianych do realizacji i w razie potrzeby warunki co do sposobu ich wykonania;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teren lub miejsca ich realizacji (z podaniem działek ewidencyjnych) lub w inny sposób umożliwiający określenie lokalizacji np. poligon;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termin lub okres oraz częstotliwość ich realizacji;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szacunkowe koszty ich realizacji; </w:t>
      </w:r>
    </w:p>
    <w:p w:rsidR="00260601" w:rsidRDefault="00260601" w:rsidP="00260601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techniczne uwarunkowania realizacji działań.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Cs/>
          <w:color w:val="auto"/>
          <w:sz w:val="22"/>
          <w:szCs w:val="22"/>
        </w:rPr>
        <w:t>Przedstawienie propozycji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punktów monitoringu </w:t>
      </w:r>
      <w:r>
        <w:rPr>
          <w:rFonts w:ascii="Garamond" w:hAnsi="Garamond"/>
          <w:bCs/>
          <w:color w:val="auto"/>
          <w:sz w:val="22"/>
          <w:szCs w:val="22"/>
        </w:rPr>
        <w:t>dla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>
        <w:rPr>
          <w:rFonts w:ascii="Garamond" w:hAnsi="Garamond"/>
          <w:bCs/>
          <w:color w:val="auto"/>
          <w:sz w:val="22"/>
          <w:szCs w:val="22"/>
        </w:rPr>
        <w:t>poszczególnych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>
        <w:rPr>
          <w:rFonts w:ascii="Garamond" w:hAnsi="Garamond"/>
          <w:bCs/>
          <w:color w:val="auto"/>
          <w:sz w:val="22"/>
          <w:szCs w:val="22"/>
        </w:rPr>
        <w:t>przedmiotów ochrony, rozłożonych w sposób pozwalający optymalnie ocenić ewentualne zmiany w ich stanie, w tym ocenić skuteczność działań ochronnych.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Opracowanie danych przestrzennych GIS</w:t>
      </w:r>
      <w:r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3.03.01. oraz podręcznikiem „Platforma Informacyjno – Komunikacyjna, plany zadań ochronnych Natura 2000, jako narzędzie wspomagające tworzenie planów zadań ochronnych dla obszarów Natura 2000 wersja 2012.1”. W wypadku opublikowania nowszej wersji standardu, Wykonawca jest obowiązany stosować najnowszą wersję, chyba że Zamawiający wskaże inną wersję. W szczególności wymagane jest opracowanie następujących warstw przestrzennych i wykazów: </w:t>
      </w:r>
    </w:p>
    <w:p w:rsidR="00260601" w:rsidRDefault="00260601" w:rsidP="00260601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Rozmieszczenie poszczególnych płatów siedlisk przyrodniczych (poligony);</w:t>
      </w:r>
    </w:p>
    <w:p w:rsidR="00260601" w:rsidRDefault="00260601" w:rsidP="00260601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Rozmieszczenie poszczególnych stanowisk gatunków zwierząt (punkty) i ich siedlisk (poligony).</w:t>
      </w:r>
    </w:p>
    <w:p w:rsidR="00260601" w:rsidRDefault="00260601" w:rsidP="00260601">
      <w:pPr>
        <w:pStyle w:val="Default"/>
        <w:ind w:left="567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Dla każdej z ww. warstwy wymagane są zewnętrzne tabele zawierające dane opisowe – tabela obserwacji, tabela wskaźników, tabela zagrożeń oraz tabela działań ochronnych połączone relacją polem unikalnego identyfikatora. </w:t>
      </w:r>
    </w:p>
    <w:p w:rsidR="00260601" w:rsidRDefault="00260601" w:rsidP="00260601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Warstwa działek ewidencyjnych, na których zaproponowano działania ochronne wraz z podaniem rodzaju/typu działania i przedmiotu ochrony, którego dotyczy;</w:t>
      </w:r>
    </w:p>
    <w:p w:rsidR="00260601" w:rsidRDefault="00260601" w:rsidP="00260601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Wykaz działek, na których zaplanowano działania ochronne wraz z podaniem rodzaju/typu działania i przedmiotu, którego dotyczy (w programie </w:t>
      </w:r>
      <w:r>
        <w:rPr>
          <w:rFonts w:ascii="Garamond" w:hAnsi="Garamond"/>
          <w:sz w:val="22"/>
          <w:szCs w:val="22"/>
        </w:rPr>
        <w:t>Word Microsoft Office</w:t>
      </w:r>
      <w:r>
        <w:rPr>
          <w:rFonts w:ascii="Garamond" w:hAnsi="Garamond"/>
          <w:color w:val="auto"/>
          <w:sz w:val="22"/>
          <w:szCs w:val="22"/>
        </w:rPr>
        <w:t>);</w:t>
      </w:r>
    </w:p>
    <w:p w:rsidR="00260601" w:rsidRDefault="00260601" w:rsidP="00260601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Warstwa z lokalizacją punktów monitoringu stanu przedmiotów ochrony i działań ochronnych.</w:t>
      </w:r>
    </w:p>
    <w:p w:rsidR="00260601" w:rsidRDefault="00260601" w:rsidP="00260601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Przedstawienie na mapach tematycznych: </w:t>
      </w:r>
    </w:p>
    <w:p w:rsidR="00260601" w:rsidRDefault="00260601" w:rsidP="00260601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rozmieszczenia siedlisk przyrodniczych, będących przedmiotami ochrony w obszarze</w:t>
      </w:r>
      <w:r>
        <w:rPr>
          <w:rFonts w:ascii="Garamond" w:hAnsi="Garamond"/>
          <w:color w:val="auto"/>
          <w:sz w:val="22"/>
          <w:szCs w:val="22"/>
        </w:rPr>
        <w:t xml:space="preserve">; </w:t>
      </w:r>
    </w:p>
    <w:p w:rsidR="00260601" w:rsidRDefault="00260601" w:rsidP="00260601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rozmieszczenia gatunków zwierząt oraz ich siedlisk, będących przedmiotami ochrony w obszarze</w:t>
      </w:r>
      <w:r>
        <w:rPr>
          <w:rFonts w:ascii="Garamond" w:hAnsi="Garamond"/>
          <w:color w:val="auto"/>
          <w:sz w:val="22"/>
          <w:szCs w:val="22"/>
        </w:rPr>
        <w:t xml:space="preserve">; </w:t>
      </w:r>
    </w:p>
    <w:p w:rsidR="00260601" w:rsidRDefault="00260601" w:rsidP="00260601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proponowanych działań/zadań ochronnych;</w:t>
      </w:r>
    </w:p>
    <w:p w:rsidR="00260601" w:rsidRDefault="00260601" w:rsidP="00260601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punktów monitoringu działań ochronnych oraz stanu przedmiotów ochrony.</w:t>
      </w:r>
    </w:p>
    <w:p w:rsidR="00260601" w:rsidRDefault="00260601" w:rsidP="00260601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260601" w:rsidRDefault="00260601" w:rsidP="00260601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II Forma opracowania dokumentacji.</w:t>
      </w:r>
    </w:p>
    <w:p w:rsidR="00260601" w:rsidRDefault="00260601" w:rsidP="0026060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djustRightInd w:val="0"/>
        <w:jc w:val="both"/>
        <w:textAlignment w:val="baseline"/>
        <w:rPr>
          <w:rFonts w:ascii="Garamond" w:eastAsia="Times New Roman" w:hAnsi="Garamond"/>
          <w:bCs/>
        </w:rPr>
      </w:pPr>
      <w:r w:rsidRPr="00EF0F79">
        <w:rPr>
          <w:rFonts w:ascii="Garamond" w:eastAsia="Times New Roman" w:hAnsi="Garamond"/>
          <w:bCs/>
          <w:sz w:val="22"/>
        </w:rPr>
        <w:t>Ekspertyzy należy wykonać w języku polskim z zachowaniem zasad pisowni polskiej.</w:t>
      </w:r>
      <w:r w:rsidRPr="00EF0F79">
        <w:rPr>
          <w:rFonts w:ascii="Garamond" w:hAnsi="Garamond"/>
          <w:i/>
          <w:sz w:val="22"/>
        </w:rPr>
        <w:t xml:space="preserve"> </w:t>
      </w:r>
      <w:r w:rsidRPr="00EF0F79">
        <w:rPr>
          <w:rFonts w:ascii="Garamond" w:eastAsia="Times New Roman" w:hAnsi="Garamond"/>
          <w:bCs/>
          <w:sz w:val="22"/>
        </w:rPr>
        <w:t xml:space="preserve">W przypadku nazw gatunków i zbiorowisk roślinnych należy je podać w języku łacińskim </w:t>
      </w:r>
      <w:r w:rsidRPr="00EF0F79">
        <w:rPr>
          <w:rFonts w:ascii="Garamond" w:eastAsia="Times New Roman" w:hAnsi="Garamond"/>
          <w:bCs/>
          <w:sz w:val="22"/>
        </w:rPr>
        <w:lastRenderedPageBreak/>
        <w:t>(kursywą) i polskim.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Ekspertyzy przyrodnicze należy przedłożyć w siedzibie Zamawiającego w dwóch wersjach: elektronicznej - n</w:t>
      </w:r>
      <w:r w:rsidR="00442635">
        <w:rPr>
          <w:rFonts w:ascii="Garamond" w:hAnsi="Garamond"/>
          <w:sz w:val="22"/>
          <w:szCs w:val="22"/>
        </w:rPr>
        <w:t>a płycie CD/DVD i wydrukowanej.</w:t>
      </w:r>
      <w:r>
        <w:rPr>
          <w:rFonts w:ascii="Garamond" w:hAnsi="Garamond"/>
          <w:sz w:val="22"/>
          <w:szCs w:val="22"/>
        </w:rPr>
        <w:t xml:space="preserve"> 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drukowaną - tekst - należy spiąć w sposób trwały, dopuszcza się bindowanie materiałów pod warunkiem nie tworzenia dużych tomów utrudniających przeglądanie poszczególnych kart, poszczególne tomy dokumentacji należy czytelnie i w sposób trwały opisać na stronie frontowej oraz grzbiecie. Wszystkie strony w dokumentacji powinny być ponumerowane, włącznie z </w:t>
      </w:r>
      <w:r w:rsidR="00EF0F79">
        <w:rPr>
          <w:rFonts w:ascii="Garamond" w:hAnsi="Garamond"/>
          <w:sz w:val="22"/>
          <w:szCs w:val="22"/>
        </w:rPr>
        <w:t>kartami, na których</w:t>
      </w:r>
      <w:r>
        <w:rPr>
          <w:rFonts w:ascii="Garamond" w:hAnsi="Garamond"/>
          <w:sz w:val="22"/>
          <w:szCs w:val="22"/>
        </w:rPr>
        <w:t xml:space="preserve"> znajdują się zdjęcia, ryciny, tabele.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Informacja o zespole autorskim przedstawiona zbiorczo na pierwszej lub </w:t>
      </w:r>
      <w:r w:rsidR="00EF0F79">
        <w:rPr>
          <w:rFonts w:ascii="Garamond" w:hAnsi="Garamond"/>
          <w:sz w:val="22"/>
          <w:szCs w:val="22"/>
        </w:rPr>
        <w:t xml:space="preserve">drugiej stronie tytułowej wraz </w:t>
      </w:r>
      <w:r>
        <w:rPr>
          <w:rFonts w:ascii="Garamond" w:hAnsi="Garamond"/>
          <w:sz w:val="22"/>
          <w:szCs w:val="22"/>
        </w:rPr>
        <w:t>wskazaniem opracowanego zakresu.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fotograficzną należy przedłożyć w osobnym wydrukowanym załączniku oraz w wersji cyfrowej w formacie JPG, o rozdzielczości min. dpi 300.  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Mapy należy wykonać w formacie JPG w skali</w:t>
      </w:r>
      <w:r w:rsidR="00EF0F79">
        <w:rPr>
          <w:rFonts w:ascii="Garamond" w:hAnsi="Garamond"/>
          <w:sz w:val="22"/>
          <w:szCs w:val="22"/>
        </w:rPr>
        <w:t xml:space="preserve"> 1: 25 000 (lub</w:t>
      </w:r>
      <w:r>
        <w:rPr>
          <w:rFonts w:ascii="Garamond" w:hAnsi="Garamond"/>
          <w:sz w:val="22"/>
          <w:szCs w:val="22"/>
        </w:rPr>
        <w:t xml:space="preserve"> innej, po uzgodnieniu z Zamawiającym) uwzględniając swobodny i prawidłowy odczyt zawartych na niej informacji, </w:t>
      </w:r>
    </w:p>
    <w:p w:rsidR="00260601" w:rsidRDefault="00260601" w:rsidP="00260601">
      <w:pPr>
        <w:pStyle w:val="Akapitzlist"/>
        <w:numPr>
          <w:ilvl w:val="1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dopuszcza się możliwość umieszczenia kilku tematów na jednej mapie pod warunkiem, że zachowana zostanie czytelność mapy. 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legendzie należy używać kodów przedmiotów ochrony zgodne z zarządzeniem Rozporządzeniem Ministra Środowiska z dnia 10 kwietnia 2010r. w sprawie siedlisk przyrodniczych oraz gatunków będących przedmiotem zainteresowania Wspólnoty, a także kryteriów wyboru obszarów kwalifikujących się do uznania lub wyznaczenia jako obszary Natura 2000 (Dz.U. 2014 r., poz. 1713, t.j.).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Warstwy przestrzenne w formacie shapefile w układzie współrzędnych PL-1992;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Pliki tekstowe w formacie: doc/docx oraz PDF.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i grzbiecie opakowania oraz bezpośrednio na płycie. </w:t>
      </w:r>
    </w:p>
    <w:p w:rsidR="00260601" w:rsidRDefault="00260601" w:rsidP="0026060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Układ dokumentu (w tym liczba tomów) i szatę graficzną (m.in. wielkość i rodzaj czcionki), skalę i format oraz tytuły map, sposób dzielenia map na części, sposób sporządzania wykazów działek należy uzgodnić z Zamawiającym</w:t>
      </w:r>
      <w:r w:rsidR="00AE22B2">
        <w:rPr>
          <w:rFonts w:ascii="Garamond" w:hAnsi="Garamond"/>
          <w:sz w:val="22"/>
          <w:szCs w:val="22"/>
        </w:rPr>
        <w:t>.</w:t>
      </w:r>
    </w:p>
    <w:p w:rsidR="00AE22B2" w:rsidRDefault="00AE22B2" w:rsidP="00AE22B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 w:rsidRPr="00AE22B2">
        <w:rPr>
          <w:rFonts w:ascii="Garamond" w:hAnsi="Garamond"/>
          <w:sz w:val="22"/>
          <w:szCs w:val="22"/>
        </w:rPr>
        <w:t>Wykonawca jest zobowiązany uzyskać zezwolenia w trybie art. 15 ust.</w:t>
      </w:r>
      <w:r w:rsidR="00404A12">
        <w:rPr>
          <w:rFonts w:ascii="Garamond" w:hAnsi="Garamond"/>
          <w:sz w:val="22"/>
          <w:szCs w:val="22"/>
        </w:rPr>
        <w:t xml:space="preserve"> 5</w:t>
      </w:r>
      <w:r w:rsidR="003C4B58">
        <w:rPr>
          <w:rFonts w:ascii="Garamond" w:hAnsi="Garamond"/>
          <w:sz w:val="22"/>
          <w:szCs w:val="22"/>
        </w:rPr>
        <w:t xml:space="preserve"> i art. 56</w:t>
      </w:r>
      <w:r w:rsidR="00404A12">
        <w:rPr>
          <w:rFonts w:ascii="Garamond" w:hAnsi="Garamond"/>
          <w:sz w:val="22"/>
          <w:szCs w:val="22"/>
        </w:rPr>
        <w:t xml:space="preserve"> ustawy z dnia 16 kwietnia 200</w:t>
      </w:r>
      <w:r w:rsidRPr="00AE22B2">
        <w:rPr>
          <w:rFonts w:ascii="Garamond" w:hAnsi="Garamond"/>
          <w:sz w:val="22"/>
          <w:szCs w:val="22"/>
        </w:rPr>
        <w:t>4</w:t>
      </w:r>
      <w:r w:rsidR="0078120E">
        <w:rPr>
          <w:rFonts w:ascii="Garamond" w:hAnsi="Garamond"/>
          <w:sz w:val="22"/>
          <w:szCs w:val="22"/>
        </w:rPr>
        <w:t xml:space="preserve"> </w:t>
      </w:r>
      <w:r w:rsidRPr="00AE22B2">
        <w:rPr>
          <w:rFonts w:ascii="Garamond" w:hAnsi="Garamond"/>
          <w:sz w:val="22"/>
          <w:szCs w:val="22"/>
        </w:rPr>
        <w:t>r. o ochronie przyrody na odstępstwo od stosownych zakazów obowiązujących w rezerwatach przyrody.</w:t>
      </w:r>
    </w:p>
    <w:p w:rsidR="000E7455" w:rsidRDefault="000E7455" w:rsidP="000E745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 przypadku zmiany przepisów prawnych, w zakresie obejmującym przedmiot umowy, w trakcie realizacji zadania Wykonawca zobowiązany jest do uwzględnienia tych zmian.</w:t>
      </w:r>
    </w:p>
    <w:p w:rsidR="000E7455" w:rsidRPr="000E7455" w:rsidRDefault="000E7455" w:rsidP="000E745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726724" w:rsidRDefault="00726724" w:rsidP="0072672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726724" w:rsidRPr="00726724" w:rsidRDefault="00726724" w:rsidP="0072672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III. Terminy płatności: </w:t>
      </w:r>
    </w:p>
    <w:p w:rsidR="00726724" w:rsidRPr="0043094C" w:rsidRDefault="00726724" w:rsidP="00726724">
      <w:pPr>
        <w:pStyle w:val="Akapitzlist"/>
        <w:numPr>
          <w:ilvl w:val="0"/>
          <w:numId w:val="20"/>
        </w:numPr>
        <w:jc w:val="both"/>
        <w:rPr>
          <w:rFonts w:ascii="Garamond" w:hAnsi="Garamond"/>
          <w:bCs/>
          <w:sz w:val="22"/>
          <w:szCs w:val="22"/>
        </w:rPr>
      </w:pPr>
      <w:r w:rsidRPr="0043094C">
        <w:rPr>
          <w:rFonts w:ascii="Garamond" w:hAnsi="Garamond"/>
          <w:bCs/>
          <w:sz w:val="22"/>
          <w:szCs w:val="22"/>
        </w:rPr>
        <w:t xml:space="preserve">Do </w:t>
      </w:r>
      <w:r w:rsidR="004274CF" w:rsidRPr="0043094C">
        <w:rPr>
          <w:rFonts w:ascii="Garamond" w:hAnsi="Garamond"/>
          <w:bCs/>
          <w:sz w:val="22"/>
          <w:szCs w:val="22"/>
        </w:rPr>
        <w:t>30</w:t>
      </w:r>
      <w:r w:rsidR="00307ADA" w:rsidRPr="0043094C">
        <w:rPr>
          <w:rFonts w:ascii="Garamond" w:hAnsi="Garamond"/>
          <w:bCs/>
          <w:sz w:val="22"/>
          <w:szCs w:val="22"/>
        </w:rPr>
        <w:t xml:space="preserve"> marca 2018 </w:t>
      </w:r>
      <w:r w:rsidRPr="0043094C">
        <w:rPr>
          <w:rFonts w:ascii="Garamond" w:hAnsi="Garamond"/>
          <w:bCs/>
          <w:sz w:val="22"/>
          <w:szCs w:val="22"/>
        </w:rPr>
        <w:t xml:space="preserve">r. przedstawienie sprawozdania zawierającego ogólny opis obszarów, opis przedmiotów ochrony, wyniki analizy dostępnych źródeł informacji o występowaniu przedmiotów ochrony oraz wyniki rozpoznania dotyczącego przedmiotów ochrony, </w:t>
      </w:r>
    </w:p>
    <w:p w:rsidR="00726724" w:rsidRPr="0043094C" w:rsidRDefault="00726724" w:rsidP="00726724">
      <w:pPr>
        <w:pStyle w:val="Akapitzlist"/>
        <w:numPr>
          <w:ilvl w:val="0"/>
          <w:numId w:val="20"/>
        </w:numPr>
        <w:jc w:val="both"/>
        <w:rPr>
          <w:rFonts w:ascii="Garamond" w:hAnsi="Garamond"/>
          <w:bCs/>
          <w:sz w:val="22"/>
          <w:szCs w:val="22"/>
        </w:rPr>
      </w:pPr>
      <w:r w:rsidRPr="0043094C">
        <w:rPr>
          <w:rFonts w:ascii="Garamond" w:hAnsi="Garamond"/>
          <w:bCs/>
          <w:sz w:val="22"/>
          <w:szCs w:val="22"/>
        </w:rPr>
        <w:t>Do 30 sierpnia 2019 r. przedstawienie wyników inwentaryzacji sie</w:t>
      </w:r>
      <w:r w:rsidR="005847EC" w:rsidRPr="0043094C">
        <w:rPr>
          <w:rFonts w:ascii="Garamond" w:hAnsi="Garamond"/>
          <w:bCs/>
          <w:sz w:val="22"/>
          <w:szCs w:val="22"/>
        </w:rPr>
        <w:t>dlisk przyrodniczych w obszarze</w:t>
      </w:r>
      <w:r w:rsidRPr="0043094C">
        <w:rPr>
          <w:rFonts w:ascii="Garamond" w:hAnsi="Garamond"/>
          <w:bCs/>
          <w:sz w:val="22"/>
          <w:szCs w:val="22"/>
        </w:rPr>
        <w:t xml:space="preserve"> Natura 2000 Dolina Górnej Pilicy wraz z oceną ich stanu zachowania</w:t>
      </w:r>
      <w:r w:rsidR="001A1C3D">
        <w:rPr>
          <w:rFonts w:ascii="Garamond" w:hAnsi="Garamond"/>
          <w:bCs/>
          <w:sz w:val="22"/>
          <w:szCs w:val="22"/>
        </w:rPr>
        <w:t xml:space="preserve"> – I etap</w:t>
      </w:r>
      <w:r w:rsidRPr="0043094C">
        <w:rPr>
          <w:rFonts w:ascii="Garamond" w:hAnsi="Garamond"/>
          <w:bCs/>
          <w:sz w:val="22"/>
          <w:szCs w:val="22"/>
        </w:rPr>
        <w:t>,</w:t>
      </w:r>
    </w:p>
    <w:p w:rsidR="00AE22B2" w:rsidRPr="0043094C" w:rsidRDefault="004274CF" w:rsidP="00726724">
      <w:pPr>
        <w:pStyle w:val="Akapitzlist"/>
        <w:numPr>
          <w:ilvl w:val="0"/>
          <w:numId w:val="20"/>
        </w:numPr>
        <w:jc w:val="both"/>
        <w:rPr>
          <w:rFonts w:ascii="Garamond" w:hAnsi="Garamond"/>
          <w:bCs/>
          <w:sz w:val="22"/>
          <w:szCs w:val="22"/>
        </w:rPr>
      </w:pPr>
      <w:r w:rsidRPr="0043094C">
        <w:rPr>
          <w:rFonts w:ascii="Garamond" w:hAnsi="Garamond"/>
          <w:bCs/>
          <w:sz w:val="22"/>
          <w:szCs w:val="22"/>
        </w:rPr>
        <w:t>Do 31 sierpnia 2021</w:t>
      </w:r>
      <w:r w:rsidR="00726724" w:rsidRPr="0043094C">
        <w:rPr>
          <w:rFonts w:ascii="Garamond" w:hAnsi="Garamond"/>
          <w:bCs/>
          <w:sz w:val="22"/>
          <w:szCs w:val="22"/>
        </w:rPr>
        <w:t xml:space="preserve"> r. przedstawienie kompletnej zgodnej z opisem przedmiotu zamówienia ekspertyzy dotyczącej obszaru Natura 2000 Dolina Górnej Pilicy. </w:t>
      </w:r>
    </w:p>
    <w:p w:rsidR="00260601" w:rsidRDefault="00260601" w:rsidP="00260601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60601" w:rsidRPr="00EB72AA" w:rsidRDefault="00260601" w:rsidP="00260601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260601" w:rsidRPr="00EB72AA" w:rsidRDefault="00260601" w:rsidP="00260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260601" w:rsidRPr="00EB72AA" w:rsidRDefault="00260601" w:rsidP="00260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260601" w:rsidRPr="001F22D7" w:rsidRDefault="00260601" w:rsidP="00260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260601" w:rsidRPr="00EB72AA" w:rsidRDefault="00260601" w:rsidP="00260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4F7FB5" w:rsidRPr="00EB72AA" w:rsidRDefault="004F7FB5" w:rsidP="0024442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sectPr w:rsidR="004F7FB5" w:rsidRPr="00EB72AA" w:rsidSect="00EF0F79">
      <w:footerReference w:type="default" r:id="rId8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25" w:rsidRDefault="003C5925" w:rsidP="00D2750F">
      <w:r>
        <w:separator/>
      </w:r>
    </w:p>
  </w:endnote>
  <w:endnote w:type="continuationSeparator" w:id="0">
    <w:p w:rsidR="003C5925" w:rsidRDefault="003C5925" w:rsidP="00D2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454"/>
      <w:docPartObj>
        <w:docPartGallery w:val="Page Numbers (Bottom of Page)"/>
        <w:docPartUnique/>
      </w:docPartObj>
    </w:sdtPr>
    <w:sdtContent>
      <w:p w:rsidR="004D0311" w:rsidRDefault="002129FE">
        <w:pPr>
          <w:pStyle w:val="Stopka"/>
          <w:jc w:val="right"/>
        </w:pPr>
        <w:r>
          <w:fldChar w:fldCharType="begin"/>
        </w:r>
        <w:r w:rsidR="009D0769">
          <w:instrText xml:space="preserve"> PAGE   \* MERGEFORMAT </w:instrText>
        </w:r>
        <w:r>
          <w:fldChar w:fldCharType="separate"/>
        </w:r>
        <w:r w:rsidR="002D4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311" w:rsidRDefault="003868E1">
    <w:pPr>
      <w:pStyle w:val="Stopka"/>
    </w:pPr>
    <w:r>
      <w:rPr>
        <w:noProof/>
      </w:rPr>
      <w:drawing>
        <wp:inline distT="0" distB="0" distL="0" distR="0">
          <wp:extent cx="5760720" cy="489696"/>
          <wp:effectExtent l="19050" t="0" r="0" b="0"/>
          <wp:docPr id="1" name="Obraz 1" descr="C:\Users\rdos11\Desktop\logo_06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os11\Desktop\logo_06_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25" w:rsidRDefault="003C5925" w:rsidP="00D2750F">
      <w:r>
        <w:separator/>
      </w:r>
    </w:p>
  </w:footnote>
  <w:footnote w:type="continuationSeparator" w:id="0">
    <w:p w:rsidR="003C5925" w:rsidRDefault="003C5925" w:rsidP="00D2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B66E3C3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048B7A52"/>
    <w:multiLevelType w:val="hybridMultilevel"/>
    <w:tmpl w:val="A748E6AA"/>
    <w:lvl w:ilvl="0" w:tplc="AF8AE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5F75"/>
    <w:multiLevelType w:val="hybridMultilevel"/>
    <w:tmpl w:val="D5FA97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CBEB7E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72AAA"/>
    <w:multiLevelType w:val="hybridMultilevel"/>
    <w:tmpl w:val="13BC65F8"/>
    <w:lvl w:ilvl="0" w:tplc="0C684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17F2B"/>
    <w:multiLevelType w:val="hybridMultilevel"/>
    <w:tmpl w:val="272C13D0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696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6">
    <w:nsid w:val="1F5D75F9"/>
    <w:multiLevelType w:val="hybridMultilevel"/>
    <w:tmpl w:val="2ADEF9B4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CCE"/>
    <w:multiLevelType w:val="hybridMultilevel"/>
    <w:tmpl w:val="709E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0237"/>
    <w:multiLevelType w:val="hybridMultilevel"/>
    <w:tmpl w:val="58E48384"/>
    <w:lvl w:ilvl="0" w:tplc="0C684F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E00283"/>
    <w:multiLevelType w:val="hybridMultilevel"/>
    <w:tmpl w:val="3B64C528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11AE"/>
    <w:multiLevelType w:val="hybridMultilevel"/>
    <w:tmpl w:val="8360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65DE"/>
    <w:multiLevelType w:val="hybridMultilevel"/>
    <w:tmpl w:val="0EEE144E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C737D"/>
    <w:multiLevelType w:val="hybridMultilevel"/>
    <w:tmpl w:val="81DA07E8"/>
    <w:lvl w:ilvl="0" w:tplc="9CBEB7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EC4AC6"/>
    <w:multiLevelType w:val="hybridMultilevel"/>
    <w:tmpl w:val="8360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7F3B"/>
    <w:multiLevelType w:val="hybridMultilevel"/>
    <w:tmpl w:val="7F8447E4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D90109"/>
    <w:multiLevelType w:val="hybridMultilevel"/>
    <w:tmpl w:val="C96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111CB"/>
    <w:rsid w:val="00000218"/>
    <w:rsid w:val="00004237"/>
    <w:rsid w:val="00006936"/>
    <w:rsid w:val="00012871"/>
    <w:rsid w:val="00016CFD"/>
    <w:rsid w:val="00030DF8"/>
    <w:rsid w:val="000520A1"/>
    <w:rsid w:val="00055422"/>
    <w:rsid w:val="000724D7"/>
    <w:rsid w:val="000734B2"/>
    <w:rsid w:val="00077094"/>
    <w:rsid w:val="00081259"/>
    <w:rsid w:val="000A367D"/>
    <w:rsid w:val="000D1CDD"/>
    <w:rsid w:val="000D2484"/>
    <w:rsid w:val="000E0D7B"/>
    <w:rsid w:val="000E7455"/>
    <w:rsid w:val="000F08E2"/>
    <w:rsid w:val="00111055"/>
    <w:rsid w:val="0013368B"/>
    <w:rsid w:val="00135337"/>
    <w:rsid w:val="001420D0"/>
    <w:rsid w:val="00150095"/>
    <w:rsid w:val="00152F58"/>
    <w:rsid w:val="001622A1"/>
    <w:rsid w:val="00170470"/>
    <w:rsid w:val="00170C7B"/>
    <w:rsid w:val="00175F41"/>
    <w:rsid w:val="00192B16"/>
    <w:rsid w:val="001A0418"/>
    <w:rsid w:val="001A1C3D"/>
    <w:rsid w:val="001A317A"/>
    <w:rsid w:val="001B382E"/>
    <w:rsid w:val="001D616A"/>
    <w:rsid w:val="001D6A74"/>
    <w:rsid w:val="001E0551"/>
    <w:rsid w:val="001F5034"/>
    <w:rsid w:val="002054DA"/>
    <w:rsid w:val="00205DCB"/>
    <w:rsid w:val="002125BC"/>
    <w:rsid w:val="002129FE"/>
    <w:rsid w:val="00217BDC"/>
    <w:rsid w:val="00220298"/>
    <w:rsid w:val="00231CD7"/>
    <w:rsid w:val="0023343E"/>
    <w:rsid w:val="00233B17"/>
    <w:rsid w:val="0023574E"/>
    <w:rsid w:val="00237BAD"/>
    <w:rsid w:val="00243D0B"/>
    <w:rsid w:val="00244422"/>
    <w:rsid w:val="00254B5C"/>
    <w:rsid w:val="00260601"/>
    <w:rsid w:val="00261593"/>
    <w:rsid w:val="00295A05"/>
    <w:rsid w:val="00296E19"/>
    <w:rsid w:val="002D4096"/>
    <w:rsid w:val="002D434E"/>
    <w:rsid w:val="002F3B0C"/>
    <w:rsid w:val="00307ADA"/>
    <w:rsid w:val="003111CB"/>
    <w:rsid w:val="00311427"/>
    <w:rsid w:val="003120B9"/>
    <w:rsid w:val="00315F3A"/>
    <w:rsid w:val="00321E22"/>
    <w:rsid w:val="003444A9"/>
    <w:rsid w:val="00354434"/>
    <w:rsid w:val="00356D3A"/>
    <w:rsid w:val="00366EB9"/>
    <w:rsid w:val="003765B3"/>
    <w:rsid w:val="00376F69"/>
    <w:rsid w:val="003868E1"/>
    <w:rsid w:val="00386C49"/>
    <w:rsid w:val="003A1195"/>
    <w:rsid w:val="003A5D01"/>
    <w:rsid w:val="003C4B58"/>
    <w:rsid w:val="003C5925"/>
    <w:rsid w:val="003D1AC2"/>
    <w:rsid w:val="003E507B"/>
    <w:rsid w:val="00404A12"/>
    <w:rsid w:val="00412118"/>
    <w:rsid w:val="004274CF"/>
    <w:rsid w:val="0043094C"/>
    <w:rsid w:val="00442635"/>
    <w:rsid w:val="004636A7"/>
    <w:rsid w:val="004732E9"/>
    <w:rsid w:val="00475EA0"/>
    <w:rsid w:val="004813B7"/>
    <w:rsid w:val="0049163F"/>
    <w:rsid w:val="00491916"/>
    <w:rsid w:val="00492D57"/>
    <w:rsid w:val="004A06E2"/>
    <w:rsid w:val="004C1E21"/>
    <w:rsid w:val="004C2734"/>
    <w:rsid w:val="004C521D"/>
    <w:rsid w:val="004D0311"/>
    <w:rsid w:val="004F69BE"/>
    <w:rsid w:val="004F7FB5"/>
    <w:rsid w:val="005115CA"/>
    <w:rsid w:val="00515ED1"/>
    <w:rsid w:val="0053159C"/>
    <w:rsid w:val="00531A7F"/>
    <w:rsid w:val="00532AEA"/>
    <w:rsid w:val="00543120"/>
    <w:rsid w:val="0055718B"/>
    <w:rsid w:val="005671CD"/>
    <w:rsid w:val="0056794A"/>
    <w:rsid w:val="0057477B"/>
    <w:rsid w:val="00583029"/>
    <w:rsid w:val="005847EC"/>
    <w:rsid w:val="005936F8"/>
    <w:rsid w:val="00597990"/>
    <w:rsid w:val="005A2273"/>
    <w:rsid w:val="005B1E92"/>
    <w:rsid w:val="005C0B1F"/>
    <w:rsid w:val="005C626A"/>
    <w:rsid w:val="005D4EB6"/>
    <w:rsid w:val="005E7170"/>
    <w:rsid w:val="005F786F"/>
    <w:rsid w:val="00601B06"/>
    <w:rsid w:val="00640BC1"/>
    <w:rsid w:val="006419A7"/>
    <w:rsid w:val="00642112"/>
    <w:rsid w:val="00646EDB"/>
    <w:rsid w:val="0065189C"/>
    <w:rsid w:val="0065607A"/>
    <w:rsid w:val="006667D1"/>
    <w:rsid w:val="00684D85"/>
    <w:rsid w:val="00690D29"/>
    <w:rsid w:val="006939F9"/>
    <w:rsid w:val="006A1969"/>
    <w:rsid w:val="006A2A1B"/>
    <w:rsid w:val="006A679C"/>
    <w:rsid w:val="006B2722"/>
    <w:rsid w:val="006B4173"/>
    <w:rsid w:val="006C2853"/>
    <w:rsid w:val="006C2C64"/>
    <w:rsid w:val="006C381B"/>
    <w:rsid w:val="006E2A33"/>
    <w:rsid w:val="007255C8"/>
    <w:rsid w:val="00726724"/>
    <w:rsid w:val="007300EB"/>
    <w:rsid w:val="0073252E"/>
    <w:rsid w:val="007442F8"/>
    <w:rsid w:val="00746B8B"/>
    <w:rsid w:val="00756855"/>
    <w:rsid w:val="0075777C"/>
    <w:rsid w:val="00761511"/>
    <w:rsid w:val="00763E6A"/>
    <w:rsid w:val="00766EB8"/>
    <w:rsid w:val="007758FA"/>
    <w:rsid w:val="00777094"/>
    <w:rsid w:val="0078120E"/>
    <w:rsid w:val="0078173E"/>
    <w:rsid w:val="00786BD2"/>
    <w:rsid w:val="007900A6"/>
    <w:rsid w:val="007A1BB6"/>
    <w:rsid w:val="00806D24"/>
    <w:rsid w:val="00812B47"/>
    <w:rsid w:val="00821709"/>
    <w:rsid w:val="008420EF"/>
    <w:rsid w:val="0085583A"/>
    <w:rsid w:val="008734FB"/>
    <w:rsid w:val="00884605"/>
    <w:rsid w:val="008A3A58"/>
    <w:rsid w:val="008A4966"/>
    <w:rsid w:val="008C164C"/>
    <w:rsid w:val="008C5993"/>
    <w:rsid w:val="008D151D"/>
    <w:rsid w:val="008E4586"/>
    <w:rsid w:val="008F5F94"/>
    <w:rsid w:val="00913F98"/>
    <w:rsid w:val="009300E6"/>
    <w:rsid w:val="00943466"/>
    <w:rsid w:val="0098358D"/>
    <w:rsid w:val="009852DC"/>
    <w:rsid w:val="00985A0A"/>
    <w:rsid w:val="00997E7A"/>
    <w:rsid w:val="009B5F35"/>
    <w:rsid w:val="009B6379"/>
    <w:rsid w:val="009B7B6D"/>
    <w:rsid w:val="009C4F79"/>
    <w:rsid w:val="009D0769"/>
    <w:rsid w:val="009E4FE1"/>
    <w:rsid w:val="009F3B2B"/>
    <w:rsid w:val="00A0473E"/>
    <w:rsid w:val="00A063C6"/>
    <w:rsid w:val="00A22FD7"/>
    <w:rsid w:val="00A44F35"/>
    <w:rsid w:val="00A477B9"/>
    <w:rsid w:val="00A50F6E"/>
    <w:rsid w:val="00A55F74"/>
    <w:rsid w:val="00A64964"/>
    <w:rsid w:val="00A668AA"/>
    <w:rsid w:val="00A7189B"/>
    <w:rsid w:val="00A76BEF"/>
    <w:rsid w:val="00A77CC0"/>
    <w:rsid w:val="00AB1714"/>
    <w:rsid w:val="00AB4C1E"/>
    <w:rsid w:val="00AC7788"/>
    <w:rsid w:val="00AD7BA3"/>
    <w:rsid w:val="00AE22B2"/>
    <w:rsid w:val="00AF4CFC"/>
    <w:rsid w:val="00B105C9"/>
    <w:rsid w:val="00B2594A"/>
    <w:rsid w:val="00B51DB7"/>
    <w:rsid w:val="00B5545D"/>
    <w:rsid w:val="00B55BB8"/>
    <w:rsid w:val="00B7797F"/>
    <w:rsid w:val="00B81AEA"/>
    <w:rsid w:val="00B9411F"/>
    <w:rsid w:val="00B962EB"/>
    <w:rsid w:val="00B96F90"/>
    <w:rsid w:val="00BC3AD2"/>
    <w:rsid w:val="00BD0468"/>
    <w:rsid w:val="00BE0360"/>
    <w:rsid w:val="00BF1364"/>
    <w:rsid w:val="00BF4DB6"/>
    <w:rsid w:val="00C15034"/>
    <w:rsid w:val="00C37A3A"/>
    <w:rsid w:val="00C4320E"/>
    <w:rsid w:val="00C70700"/>
    <w:rsid w:val="00C76318"/>
    <w:rsid w:val="00CA7EB3"/>
    <w:rsid w:val="00CC233E"/>
    <w:rsid w:val="00CE3952"/>
    <w:rsid w:val="00CE4870"/>
    <w:rsid w:val="00CE7C55"/>
    <w:rsid w:val="00CF2F92"/>
    <w:rsid w:val="00D0744B"/>
    <w:rsid w:val="00D107EB"/>
    <w:rsid w:val="00D17593"/>
    <w:rsid w:val="00D24152"/>
    <w:rsid w:val="00D2750F"/>
    <w:rsid w:val="00D27C85"/>
    <w:rsid w:val="00D315D3"/>
    <w:rsid w:val="00D34669"/>
    <w:rsid w:val="00D3632E"/>
    <w:rsid w:val="00D373F4"/>
    <w:rsid w:val="00D61706"/>
    <w:rsid w:val="00D72BAB"/>
    <w:rsid w:val="00D72CAD"/>
    <w:rsid w:val="00D82DF3"/>
    <w:rsid w:val="00DA564E"/>
    <w:rsid w:val="00DB4370"/>
    <w:rsid w:val="00DD0964"/>
    <w:rsid w:val="00E04B6D"/>
    <w:rsid w:val="00E105EF"/>
    <w:rsid w:val="00E24E1C"/>
    <w:rsid w:val="00E35844"/>
    <w:rsid w:val="00E35E04"/>
    <w:rsid w:val="00E362CC"/>
    <w:rsid w:val="00E66AD3"/>
    <w:rsid w:val="00E764BD"/>
    <w:rsid w:val="00E86FD1"/>
    <w:rsid w:val="00E87933"/>
    <w:rsid w:val="00E91370"/>
    <w:rsid w:val="00EB72AA"/>
    <w:rsid w:val="00ED3E27"/>
    <w:rsid w:val="00EE7870"/>
    <w:rsid w:val="00EF0F79"/>
    <w:rsid w:val="00F10B67"/>
    <w:rsid w:val="00F16A94"/>
    <w:rsid w:val="00F175E2"/>
    <w:rsid w:val="00F26D7D"/>
    <w:rsid w:val="00F30DC8"/>
    <w:rsid w:val="00F32D89"/>
    <w:rsid w:val="00F40927"/>
    <w:rsid w:val="00F44727"/>
    <w:rsid w:val="00F66865"/>
    <w:rsid w:val="00F8702B"/>
    <w:rsid w:val="00F875B3"/>
    <w:rsid w:val="00FA0579"/>
    <w:rsid w:val="00FA13C4"/>
    <w:rsid w:val="00FB7522"/>
    <w:rsid w:val="00FC11B9"/>
    <w:rsid w:val="00FC1B7E"/>
    <w:rsid w:val="00FC2FBE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97E7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997E7A"/>
    <w:rPr>
      <w:b/>
      <w:bCs/>
    </w:rPr>
  </w:style>
  <w:style w:type="paragraph" w:styleId="Akapitzlist">
    <w:name w:val="List Paragraph"/>
    <w:basedOn w:val="Normalny"/>
    <w:uiPriority w:val="34"/>
    <w:qFormat/>
    <w:rsid w:val="00016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69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B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1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60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A93D-8F09-4DC0-9803-FDCF72F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 </cp:lastModifiedBy>
  <cp:revision>2</cp:revision>
  <cp:lastPrinted>2014-01-31T06:44:00Z</cp:lastPrinted>
  <dcterms:created xsi:type="dcterms:W3CDTF">2017-12-15T10:50:00Z</dcterms:created>
  <dcterms:modified xsi:type="dcterms:W3CDTF">2017-12-15T10:50:00Z</dcterms:modified>
</cp:coreProperties>
</file>